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AF2A7" w14:textId="77777777" w:rsidR="000723CE" w:rsidRDefault="000723CE" w:rsidP="00A5246F">
      <w:pPr>
        <w:pStyle w:val="ListParagraph"/>
        <w:jc w:val="center"/>
        <w:rPr>
          <w:rFonts w:ascii="Arial" w:hAnsi="Arial"/>
          <w:b/>
          <w:color w:val="FF0000"/>
          <w:sz w:val="36"/>
        </w:rPr>
      </w:pPr>
    </w:p>
    <w:p w14:paraId="039BEB2E" w14:textId="7899F694" w:rsidR="00A5246F" w:rsidRPr="00DD251A" w:rsidRDefault="00FD6108" w:rsidP="000B18F3">
      <w:pPr>
        <w:pStyle w:val="ListParagraph"/>
        <w:jc w:val="center"/>
        <w:outlineLvl w:val="0"/>
        <w:rPr>
          <w:rFonts w:ascii="Arial" w:hAnsi="Arial"/>
          <w:b/>
          <w:color w:val="FF0000"/>
          <w:sz w:val="36"/>
        </w:rPr>
      </w:pPr>
      <w:r>
        <w:rPr>
          <w:rFonts w:ascii="Arial" w:hAnsi="Arial"/>
          <w:b/>
          <w:color w:val="FF0000"/>
          <w:sz w:val="36"/>
        </w:rPr>
        <w:t xml:space="preserve">       </w:t>
      </w:r>
      <w:proofErr w:type="gramStart"/>
      <w:r w:rsidR="00A5246F" w:rsidRPr="00DD251A">
        <w:rPr>
          <w:rFonts w:ascii="Arial" w:hAnsi="Arial"/>
          <w:b/>
          <w:color w:val="FF0000"/>
          <w:sz w:val="36"/>
        </w:rPr>
        <w:t xml:space="preserve">ANNOTATED </w:t>
      </w:r>
      <w:r w:rsidR="00A5246F" w:rsidRPr="00DD251A">
        <w:rPr>
          <w:rFonts w:ascii="Arial" w:hAnsi="Arial"/>
          <w:b/>
          <w:color w:val="FF0000"/>
          <w:sz w:val="28"/>
        </w:rPr>
        <w:t xml:space="preserve"> </w:t>
      </w:r>
      <w:r w:rsidR="00A5246F" w:rsidRPr="00DD251A">
        <w:rPr>
          <w:rFonts w:ascii="Arial" w:hAnsi="Arial"/>
          <w:b/>
          <w:color w:val="FF0000"/>
          <w:sz w:val="36"/>
        </w:rPr>
        <w:t>GUIDANCE</w:t>
      </w:r>
      <w:proofErr w:type="gramEnd"/>
      <w:r w:rsidR="00A5246F" w:rsidRPr="00DD251A">
        <w:rPr>
          <w:rFonts w:ascii="Arial" w:hAnsi="Arial"/>
          <w:b/>
          <w:color w:val="FF0000"/>
          <w:sz w:val="36"/>
        </w:rPr>
        <w:t xml:space="preserve">  NOTES  </w:t>
      </w:r>
    </w:p>
    <w:p w14:paraId="0F99F697" w14:textId="77777777" w:rsidR="00A5246F" w:rsidRDefault="00A5246F" w:rsidP="00A5246F">
      <w:pPr>
        <w:pStyle w:val="ListParagraph"/>
        <w:jc w:val="center"/>
        <w:rPr>
          <w:rFonts w:ascii="Arial" w:hAnsi="Arial"/>
          <w:b/>
          <w:color w:val="FF0000"/>
          <w:sz w:val="32"/>
        </w:rPr>
      </w:pPr>
    </w:p>
    <w:p w14:paraId="2095BF25" w14:textId="77777777" w:rsidR="00A5246F" w:rsidRPr="00DD251A" w:rsidRDefault="00A5246F" w:rsidP="000B18F3">
      <w:pPr>
        <w:pStyle w:val="ListParagraph"/>
        <w:ind w:left="1440"/>
        <w:jc w:val="center"/>
        <w:outlineLvl w:val="0"/>
        <w:rPr>
          <w:rFonts w:ascii="Arial" w:hAnsi="Arial"/>
          <w:b/>
          <w:color w:val="FF0000"/>
          <w:sz w:val="32"/>
        </w:rPr>
      </w:pPr>
      <w:r w:rsidRPr="00DD251A">
        <w:rPr>
          <w:rFonts w:ascii="Arial" w:hAnsi="Arial"/>
          <w:b/>
          <w:color w:val="FF0000"/>
          <w:sz w:val="32"/>
        </w:rPr>
        <w:t>The following GNs are annotated to the</w:t>
      </w:r>
    </w:p>
    <w:p w14:paraId="2BD2C270" w14:textId="77777777" w:rsidR="00A5246F" w:rsidRPr="00DD251A" w:rsidRDefault="00A5246F" w:rsidP="000B18F3">
      <w:pPr>
        <w:pStyle w:val="ListParagraph"/>
        <w:ind w:left="1440"/>
        <w:jc w:val="center"/>
        <w:outlineLvl w:val="0"/>
        <w:rPr>
          <w:rFonts w:ascii="Arial" w:hAnsi="Arial"/>
          <w:b/>
          <w:color w:val="FF0000"/>
          <w:sz w:val="32"/>
        </w:rPr>
      </w:pPr>
      <w:r w:rsidRPr="00DD251A">
        <w:rPr>
          <w:rFonts w:ascii="Arial" w:hAnsi="Arial"/>
          <w:b/>
          <w:color w:val="FF0000"/>
          <w:sz w:val="32"/>
        </w:rPr>
        <w:t xml:space="preserve">SOFA, Balance Sheet </w:t>
      </w:r>
      <w:r w:rsidRPr="00FD6108">
        <w:rPr>
          <w:rFonts w:ascii="Arial" w:hAnsi="Arial"/>
          <w:b/>
          <w:color w:val="FF0000"/>
          <w:sz w:val="32"/>
        </w:rPr>
        <w:t>and Notes to the Accounts</w:t>
      </w:r>
    </w:p>
    <w:p w14:paraId="4F7A0DEA" w14:textId="77777777" w:rsidR="00A5246F" w:rsidRPr="00054433" w:rsidRDefault="00A5246F" w:rsidP="00A5246F">
      <w:pPr>
        <w:pStyle w:val="ListParagraph"/>
        <w:rPr>
          <w:rFonts w:ascii="Arial" w:hAnsi="Arial"/>
          <w:b/>
        </w:rPr>
      </w:pPr>
    </w:p>
    <w:p w14:paraId="56A82C00" w14:textId="77777777" w:rsidR="0046021D" w:rsidRDefault="00A5246F" w:rsidP="00A5246F">
      <w:pPr>
        <w:pStyle w:val="ListParagraph"/>
        <w:ind w:left="1440"/>
        <w:rPr>
          <w:rFonts w:ascii="Arial" w:hAnsi="Arial"/>
          <w:szCs w:val="22"/>
        </w:rPr>
      </w:pPr>
      <w:proofErr w:type="gramStart"/>
      <w:r>
        <w:rPr>
          <w:rFonts w:ascii="Arial" w:hAnsi="Arial"/>
          <w:sz w:val="22"/>
        </w:rPr>
        <w:t>A</w:t>
      </w:r>
      <w:proofErr w:type="gramEnd"/>
      <w:r>
        <w:rPr>
          <w:rFonts w:ascii="Arial" w:hAnsi="Arial"/>
          <w:sz w:val="22"/>
        </w:rPr>
        <w:tab/>
      </w:r>
      <w:r w:rsidRPr="00CF08BB">
        <w:rPr>
          <w:rFonts w:ascii="Arial" w:hAnsi="Arial"/>
        </w:rPr>
        <w:t>All m</w:t>
      </w:r>
      <w:r w:rsidRPr="00CF08BB">
        <w:rPr>
          <w:rFonts w:ascii="Arial" w:hAnsi="Arial"/>
          <w:szCs w:val="22"/>
        </w:rPr>
        <w:t xml:space="preserve">aterial items should be shown separately either in the SOFA or by elaboration in the Notes to the Accounts.  Materiality </w:t>
      </w:r>
      <w:r w:rsidR="00CF00A3">
        <w:rPr>
          <w:rFonts w:ascii="Arial" w:hAnsi="Arial"/>
          <w:szCs w:val="22"/>
        </w:rPr>
        <w:t xml:space="preserve">affects what you show and what you decide not to show; it </w:t>
      </w:r>
      <w:r w:rsidRPr="00CF08BB">
        <w:rPr>
          <w:rFonts w:ascii="Arial" w:hAnsi="Arial"/>
          <w:szCs w:val="22"/>
        </w:rPr>
        <w:t>is based on the size</w:t>
      </w:r>
      <w:r w:rsidR="00D56B56">
        <w:rPr>
          <w:rFonts w:ascii="Arial" w:hAnsi="Arial"/>
          <w:szCs w:val="22"/>
        </w:rPr>
        <w:t>*</w:t>
      </w:r>
      <w:r w:rsidRPr="00CF08BB">
        <w:rPr>
          <w:rFonts w:ascii="Arial" w:hAnsi="Arial"/>
          <w:szCs w:val="22"/>
        </w:rPr>
        <w:t xml:space="preserve"> of an item in relation to the whole (of that class or overall), its nature (especially its unusualness) and the impact of </w:t>
      </w:r>
      <w:r>
        <w:rPr>
          <w:rFonts w:ascii="Arial" w:hAnsi="Arial"/>
          <w:szCs w:val="22"/>
        </w:rPr>
        <w:t xml:space="preserve">either </w:t>
      </w:r>
      <w:r w:rsidRPr="00CF08BB">
        <w:rPr>
          <w:rFonts w:ascii="Arial" w:hAnsi="Arial"/>
          <w:szCs w:val="22"/>
        </w:rPr>
        <w:t xml:space="preserve">its omission or not revealing its extent.  Where there is any material uncertainty this </w:t>
      </w:r>
      <w:r>
        <w:rPr>
          <w:rFonts w:ascii="Arial" w:hAnsi="Arial"/>
          <w:szCs w:val="22"/>
        </w:rPr>
        <w:t>should</w:t>
      </w:r>
      <w:r w:rsidRPr="00CF08BB">
        <w:rPr>
          <w:rFonts w:ascii="Arial" w:hAnsi="Arial"/>
          <w:szCs w:val="22"/>
        </w:rPr>
        <w:t xml:space="preserve"> be explained in the Notes to the Accounts.</w:t>
      </w:r>
      <w:r w:rsidR="00D56B56">
        <w:rPr>
          <w:rFonts w:ascii="Arial" w:hAnsi="Arial"/>
          <w:szCs w:val="22"/>
        </w:rPr>
        <w:t xml:space="preserve"> </w:t>
      </w:r>
    </w:p>
    <w:p w14:paraId="6490ED4B" w14:textId="77777777" w:rsidR="0046021D" w:rsidRDefault="0046021D" w:rsidP="00A5246F">
      <w:pPr>
        <w:pStyle w:val="ListParagraph"/>
        <w:ind w:left="1440"/>
        <w:rPr>
          <w:rFonts w:ascii="Arial" w:hAnsi="Arial"/>
          <w:szCs w:val="22"/>
        </w:rPr>
      </w:pPr>
    </w:p>
    <w:p w14:paraId="1874B1F0" w14:textId="3DF67F16" w:rsidR="00A5246F" w:rsidRPr="00E35840" w:rsidRDefault="00D56B56" w:rsidP="00A5246F">
      <w:pPr>
        <w:pStyle w:val="ListParagraph"/>
        <w:ind w:left="1440"/>
        <w:rPr>
          <w:rFonts w:ascii="Arial" w:hAnsi="Arial"/>
          <w:sz w:val="21"/>
          <w:szCs w:val="21"/>
        </w:rPr>
      </w:pPr>
      <w:r w:rsidRPr="00E35840">
        <w:rPr>
          <w:rFonts w:ascii="Arial" w:hAnsi="Arial"/>
          <w:sz w:val="21"/>
          <w:szCs w:val="21"/>
        </w:rPr>
        <w:t>*</w:t>
      </w:r>
      <w:r w:rsidR="0046021D" w:rsidRPr="00E35840">
        <w:rPr>
          <w:rFonts w:ascii="Arial" w:hAnsi="Arial"/>
          <w:sz w:val="21"/>
          <w:szCs w:val="21"/>
        </w:rPr>
        <w:t>Note</w:t>
      </w:r>
      <w:r w:rsidRPr="00E35840">
        <w:rPr>
          <w:rFonts w:ascii="Arial" w:hAnsi="Arial"/>
          <w:sz w:val="21"/>
          <w:szCs w:val="21"/>
        </w:rPr>
        <w:t xml:space="preserve"> </w:t>
      </w:r>
      <w:r w:rsidR="005B6532" w:rsidRPr="00E35840">
        <w:rPr>
          <w:rFonts w:ascii="Arial" w:hAnsi="Arial"/>
          <w:sz w:val="21"/>
          <w:szCs w:val="21"/>
        </w:rPr>
        <w:t>that all</w:t>
      </w:r>
      <w:r w:rsidRPr="00E35840">
        <w:rPr>
          <w:rFonts w:ascii="Arial" w:hAnsi="Arial"/>
          <w:sz w:val="21"/>
          <w:szCs w:val="21"/>
        </w:rPr>
        <w:t xml:space="preserve"> </w:t>
      </w:r>
      <w:r w:rsidR="00C949EF">
        <w:rPr>
          <w:rFonts w:ascii="Arial" w:hAnsi="Arial"/>
          <w:sz w:val="21"/>
          <w:szCs w:val="21"/>
        </w:rPr>
        <w:t xml:space="preserve">Related Party </w:t>
      </w:r>
      <w:bookmarkStart w:id="0" w:name="_GoBack"/>
      <w:bookmarkEnd w:id="0"/>
      <w:r w:rsidR="005B6532" w:rsidRPr="00E35840">
        <w:rPr>
          <w:rFonts w:ascii="Arial" w:hAnsi="Arial"/>
          <w:sz w:val="21"/>
          <w:szCs w:val="21"/>
        </w:rPr>
        <w:t>t</w:t>
      </w:r>
      <w:r w:rsidRPr="00E35840">
        <w:rPr>
          <w:rFonts w:ascii="Arial" w:hAnsi="Arial"/>
          <w:sz w:val="21"/>
          <w:szCs w:val="21"/>
        </w:rPr>
        <w:t>ransactions</w:t>
      </w:r>
      <w:r w:rsidR="005B6532" w:rsidRPr="00E35840">
        <w:rPr>
          <w:rFonts w:ascii="Arial" w:hAnsi="Arial"/>
          <w:sz w:val="21"/>
          <w:szCs w:val="21"/>
        </w:rPr>
        <w:t xml:space="preserve"> with a Related Party </w:t>
      </w:r>
      <w:r w:rsidR="0046021D" w:rsidRPr="00E35840">
        <w:rPr>
          <w:rFonts w:ascii="Arial" w:hAnsi="Arial"/>
          <w:sz w:val="21"/>
          <w:szCs w:val="21"/>
        </w:rPr>
        <w:t>(</w:t>
      </w:r>
      <w:r w:rsidR="005B6532" w:rsidRPr="00E35840">
        <w:rPr>
          <w:rFonts w:ascii="Arial" w:hAnsi="Arial"/>
          <w:sz w:val="21"/>
          <w:szCs w:val="21"/>
        </w:rPr>
        <w:t xml:space="preserve">which includes trustees and their close family/business connections, any subsidiary undertakings and any land donors, </w:t>
      </w:r>
      <w:proofErr w:type="spellStart"/>
      <w:r w:rsidR="005B6532" w:rsidRPr="00E35840">
        <w:rPr>
          <w:rFonts w:ascii="Arial" w:hAnsi="Arial"/>
          <w:i/>
          <w:sz w:val="21"/>
          <w:szCs w:val="21"/>
        </w:rPr>
        <w:t>etc</w:t>
      </w:r>
      <w:proofErr w:type="spellEnd"/>
      <w:r w:rsidR="0046021D" w:rsidRPr="00E35840">
        <w:rPr>
          <w:rFonts w:ascii="Arial" w:hAnsi="Arial"/>
          <w:sz w:val="21"/>
          <w:szCs w:val="21"/>
        </w:rPr>
        <w:t xml:space="preserve">) </w:t>
      </w:r>
      <w:r w:rsidR="005B6532" w:rsidRPr="00E35840">
        <w:rPr>
          <w:rFonts w:ascii="Arial" w:hAnsi="Arial"/>
          <w:sz w:val="21"/>
          <w:szCs w:val="21"/>
        </w:rPr>
        <w:t>are now</w:t>
      </w:r>
      <w:r w:rsidRPr="00E35840">
        <w:rPr>
          <w:rFonts w:ascii="Arial" w:hAnsi="Arial"/>
          <w:sz w:val="21"/>
          <w:szCs w:val="21"/>
        </w:rPr>
        <w:t xml:space="preserve"> </w:t>
      </w:r>
      <w:r w:rsidR="005B6532" w:rsidRPr="00E35840">
        <w:rPr>
          <w:rFonts w:ascii="Arial" w:hAnsi="Arial"/>
          <w:sz w:val="21"/>
          <w:szCs w:val="21"/>
        </w:rPr>
        <w:t xml:space="preserve">regarded as </w:t>
      </w:r>
      <w:r w:rsidRPr="00E35840">
        <w:rPr>
          <w:rFonts w:ascii="Arial" w:hAnsi="Arial"/>
          <w:sz w:val="21"/>
          <w:szCs w:val="21"/>
        </w:rPr>
        <w:t>material</w:t>
      </w:r>
      <w:r w:rsidR="00C949EF">
        <w:rPr>
          <w:rFonts w:ascii="Arial" w:hAnsi="Arial"/>
          <w:sz w:val="21"/>
          <w:szCs w:val="21"/>
        </w:rPr>
        <w:t xml:space="preserve"> regardless of their size.</w:t>
      </w:r>
    </w:p>
    <w:p w14:paraId="4FDAF531" w14:textId="77777777" w:rsidR="00EB1FC8" w:rsidRDefault="00EB1FC8" w:rsidP="00A5246F">
      <w:pPr>
        <w:pStyle w:val="ListParagraph"/>
        <w:ind w:left="1440"/>
        <w:rPr>
          <w:rFonts w:ascii="Arial" w:hAnsi="Arial"/>
          <w:szCs w:val="22"/>
        </w:rPr>
      </w:pPr>
    </w:p>
    <w:p w14:paraId="1DFD2AB3" w14:textId="6358BD1B" w:rsidR="00EB1FC8" w:rsidRDefault="00EB1FC8" w:rsidP="00A5246F">
      <w:pPr>
        <w:pStyle w:val="ListParagraph"/>
        <w:ind w:left="1440"/>
        <w:rPr>
          <w:rFonts w:ascii="Arial" w:hAnsi="Arial"/>
          <w:sz w:val="22"/>
        </w:rPr>
      </w:pPr>
      <w:r>
        <w:rPr>
          <w:rFonts w:ascii="Arial" w:hAnsi="Arial"/>
        </w:rPr>
        <w:t>B</w:t>
      </w:r>
      <w:r>
        <w:rPr>
          <w:rFonts w:ascii="Arial" w:hAnsi="Arial"/>
        </w:rPr>
        <w:tab/>
        <w:t>If the bases used (</w:t>
      </w:r>
      <w:proofErr w:type="spellStart"/>
      <w:proofErr w:type="gramStart"/>
      <w:r>
        <w:rPr>
          <w:rFonts w:ascii="Arial" w:hAnsi="Arial"/>
          <w:i/>
        </w:rPr>
        <w:t>eg</w:t>
      </w:r>
      <w:proofErr w:type="spellEnd"/>
      <w:r>
        <w:rPr>
          <w:rFonts w:ascii="Arial" w:hAnsi="Arial"/>
          <w:i/>
        </w:rPr>
        <w:t xml:space="preserve"> </w:t>
      </w:r>
      <w:r>
        <w:rPr>
          <w:rFonts w:ascii="Arial" w:hAnsi="Arial"/>
        </w:rPr>
        <w:t xml:space="preserve"> the</w:t>
      </w:r>
      <w:proofErr w:type="gramEnd"/>
      <w:r>
        <w:rPr>
          <w:rFonts w:ascii="Arial" w:hAnsi="Arial"/>
        </w:rPr>
        <w:t xml:space="preserve"> aggregation of costs) change between two consecutive years, restate the earlier year to be on the same basis as the later year.  See Note 3.1.  Show at Note 3.2 the SOFA as it appeared in the previous year’s accounts.</w:t>
      </w:r>
    </w:p>
    <w:p w14:paraId="145BDCF6" w14:textId="77777777" w:rsidR="00A5246F" w:rsidRDefault="00A5246F" w:rsidP="00A5246F">
      <w:pPr>
        <w:pStyle w:val="ListParagraph"/>
        <w:ind w:left="1440"/>
        <w:rPr>
          <w:rFonts w:ascii="Arial" w:hAnsi="Arial"/>
          <w:sz w:val="22"/>
        </w:rPr>
      </w:pPr>
    </w:p>
    <w:p w14:paraId="23388B3B" w14:textId="77777777" w:rsidR="00A5246F" w:rsidRPr="00C01351" w:rsidRDefault="00EB1FC8" w:rsidP="00A5246F">
      <w:pPr>
        <w:pStyle w:val="ListParagraph"/>
        <w:ind w:left="1440"/>
        <w:rPr>
          <w:rFonts w:ascii="Arial" w:hAnsi="Arial"/>
        </w:rPr>
      </w:pPr>
      <w:r>
        <w:rPr>
          <w:rFonts w:ascii="Arial" w:hAnsi="Arial"/>
          <w:sz w:val="22"/>
        </w:rPr>
        <w:t>C</w:t>
      </w:r>
      <w:r w:rsidR="00A5246F" w:rsidRPr="00C01351">
        <w:rPr>
          <w:rFonts w:ascii="Arial" w:hAnsi="Arial"/>
        </w:rPr>
        <w:tab/>
        <w:t>Confirm that all assessments have been paid.  If they have not</w:t>
      </w:r>
      <w:r w:rsidR="00A5246F">
        <w:rPr>
          <w:rFonts w:ascii="Arial" w:hAnsi="Arial"/>
        </w:rPr>
        <w:t>,</w:t>
      </w:r>
      <w:r w:rsidR="00A5246F" w:rsidRPr="00C01351">
        <w:rPr>
          <w:rFonts w:ascii="Arial" w:hAnsi="Arial"/>
        </w:rPr>
        <w:t xml:space="preserve"> explain the circumstances although you may wish not to name the </w:t>
      </w:r>
      <w:r w:rsidR="00A5246F">
        <w:rPr>
          <w:rFonts w:ascii="Arial" w:hAnsi="Arial"/>
        </w:rPr>
        <w:t>Circuit</w:t>
      </w:r>
      <w:r w:rsidR="00A5246F" w:rsidRPr="00C01351">
        <w:rPr>
          <w:rFonts w:ascii="Arial" w:hAnsi="Arial"/>
        </w:rPr>
        <w:t>(s).</w:t>
      </w:r>
    </w:p>
    <w:p w14:paraId="4B42234F" w14:textId="77777777" w:rsidR="00A5246F" w:rsidRDefault="00A5246F" w:rsidP="00A5246F">
      <w:pPr>
        <w:pStyle w:val="ListParagraph"/>
        <w:rPr>
          <w:rFonts w:ascii="Arial" w:hAnsi="Arial"/>
          <w:sz w:val="28"/>
        </w:rPr>
      </w:pPr>
    </w:p>
    <w:p w14:paraId="4351757A" w14:textId="77777777" w:rsidR="00A5246F" w:rsidRDefault="00EB1FC8" w:rsidP="00A5246F">
      <w:pPr>
        <w:pStyle w:val="ListParagraph"/>
        <w:ind w:left="1440"/>
        <w:rPr>
          <w:rFonts w:ascii="Arial" w:hAnsi="Arial"/>
        </w:rPr>
      </w:pPr>
      <w:r>
        <w:rPr>
          <w:rFonts w:ascii="Arial" w:hAnsi="Arial"/>
        </w:rPr>
        <w:t>D</w:t>
      </w:r>
      <w:r w:rsidR="00A5246F">
        <w:rPr>
          <w:rFonts w:ascii="Arial" w:hAnsi="Arial"/>
        </w:rPr>
        <w:tab/>
        <w:t>This can be net of any refunds of CMTF levies that the District has made across Circuits where grants made have not justified the retention of the full levies.</w:t>
      </w:r>
    </w:p>
    <w:p w14:paraId="271492C0" w14:textId="77777777" w:rsidR="00A5246F" w:rsidRDefault="00A5246F" w:rsidP="00A5246F">
      <w:pPr>
        <w:pStyle w:val="ListParagraph"/>
        <w:rPr>
          <w:rFonts w:ascii="Arial" w:hAnsi="Arial"/>
        </w:rPr>
      </w:pPr>
      <w:r>
        <w:rPr>
          <w:rFonts w:ascii="Arial" w:hAnsi="Arial"/>
        </w:rPr>
        <w:tab/>
      </w:r>
    </w:p>
    <w:p w14:paraId="5B4EA9E3" w14:textId="15F12067" w:rsidR="00A5246F" w:rsidRDefault="00A5246F" w:rsidP="00A5246F">
      <w:pPr>
        <w:pStyle w:val="ListParagraph"/>
        <w:tabs>
          <w:tab w:val="left" w:pos="993"/>
        </w:tabs>
        <w:ind w:left="1440" w:hanging="447"/>
        <w:rPr>
          <w:rFonts w:ascii="Arial" w:hAnsi="Arial"/>
        </w:rPr>
      </w:pPr>
      <w:r>
        <w:rPr>
          <w:rFonts w:ascii="Arial" w:hAnsi="Arial"/>
        </w:rPr>
        <w:tab/>
      </w:r>
      <w:r w:rsidR="000723CE" w:rsidRPr="000723CE">
        <w:rPr>
          <w:rFonts w:ascii="Arial" w:hAnsi="Arial"/>
        </w:rPr>
        <w:t>E</w:t>
      </w:r>
      <w:r>
        <w:rPr>
          <w:rFonts w:ascii="Arial" w:hAnsi="Arial"/>
        </w:rPr>
        <w:tab/>
        <w:t xml:space="preserve">See the calculations in Note 5 to the Accounts.  </w:t>
      </w:r>
      <w:r w:rsidR="00C861E7">
        <w:rPr>
          <w:rFonts w:ascii="Arial" w:hAnsi="Arial"/>
        </w:rPr>
        <w:t>There is no need for</w:t>
      </w:r>
      <w:r>
        <w:rPr>
          <w:rFonts w:ascii="Arial" w:hAnsi="Arial"/>
        </w:rPr>
        <w:t xml:space="preserve"> approximate annual rental value</w:t>
      </w:r>
      <w:r w:rsidR="00C861E7">
        <w:rPr>
          <w:rFonts w:ascii="Arial" w:hAnsi="Arial"/>
        </w:rPr>
        <w:t>s</w:t>
      </w:r>
      <w:r>
        <w:rPr>
          <w:rFonts w:ascii="Arial" w:hAnsi="Arial"/>
        </w:rPr>
        <w:t xml:space="preserve"> for the District</w:t>
      </w:r>
      <w:r w:rsidR="00C861E7">
        <w:rPr>
          <w:rFonts w:ascii="Arial" w:hAnsi="Arial"/>
        </w:rPr>
        <w:t xml:space="preserve"> or Circuit</w:t>
      </w:r>
      <w:r>
        <w:rPr>
          <w:rFonts w:ascii="Arial" w:hAnsi="Arial"/>
        </w:rPr>
        <w:t xml:space="preserve"> manse</w:t>
      </w:r>
      <w:r w:rsidR="00C861E7">
        <w:rPr>
          <w:rFonts w:ascii="Arial" w:hAnsi="Arial"/>
        </w:rPr>
        <w:t>s.</w:t>
      </w:r>
    </w:p>
    <w:p w14:paraId="73D85702" w14:textId="77777777" w:rsidR="00A5246F" w:rsidRDefault="00A5246F" w:rsidP="00A5246F">
      <w:pPr>
        <w:pStyle w:val="ListParagraph"/>
        <w:rPr>
          <w:rFonts w:ascii="Arial" w:hAnsi="Arial"/>
        </w:rPr>
      </w:pPr>
    </w:p>
    <w:p w14:paraId="4D8ED6FF" w14:textId="77777777" w:rsidR="00A5246F" w:rsidRDefault="000723CE" w:rsidP="00A5246F">
      <w:pPr>
        <w:pStyle w:val="ListParagraph"/>
        <w:ind w:left="1440"/>
        <w:rPr>
          <w:rFonts w:ascii="Arial" w:hAnsi="Arial"/>
        </w:rPr>
      </w:pPr>
      <w:r>
        <w:rPr>
          <w:rFonts w:ascii="Arial" w:hAnsi="Arial"/>
        </w:rPr>
        <w:t>F</w:t>
      </w:r>
      <w:r w:rsidR="00A5246F">
        <w:rPr>
          <w:rFonts w:ascii="Arial" w:hAnsi="Arial"/>
        </w:rPr>
        <w:tab/>
        <w:t>Always show the total receipts from any insurance claims separately in the SOFA.</w:t>
      </w:r>
    </w:p>
    <w:p w14:paraId="7BDAC46F" w14:textId="77777777" w:rsidR="00A5246F" w:rsidRDefault="00A5246F" w:rsidP="00A5246F">
      <w:pPr>
        <w:pStyle w:val="ListParagraph"/>
        <w:ind w:left="1440"/>
        <w:rPr>
          <w:rFonts w:ascii="Arial" w:hAnsi="Arial"/>
        </w:rPr>
      </w:pPr>
    </w:p>
    <w:p w14:paraId="12AEC153" w14:textId="77777777" w:rsidR="00A5246F" w:rsidRDefault="000723CE" w:rsidP="00A5246F">
      <w:pPr>
        <w:pStyle w:val="ListParagraph"/>
        <w:ind w:left="1440"/>
        <w:rPr>
          <w:rFonts w:ascii="Arial" w:hAnsi="Arial"/>
        </w:rPr>
      </w:pPr>
      <w:r>
        <w:rPr>
          <w:rFonts w:ascii="Arial" w:hAnsi="Arial"/>
        </w:rPr>
        <w:t>G</w:t>
      </w:r>
      <w:r w:rsidR="00A5246F">
        <w:rPr>
          <w:rFonts w:ascii="Arial" w:hAnsi="Arial"/>
        </w:rPr>
        <w:tab/>
        <w:t xml:space="preserve">The total income (£318,228 in the exemplar) determines the need for the District to have an audit or an independent examination. </w:t>
      </w:r>
    </w:p>
    <w:p w14:paraId="553B4F50" w14:textId="77777777" w:rsidR="00A5246F" w:rsidRDefault="00A5246F" w:rsidP="00A5246F">
      <w:pPr>
        <w:pStyle w:val="ListParagraph"/>
        <w:rPr>
          <w:rFonts w:ascii="Arial" w:hAnsi="Arial"/>
        </w:rPr>
      </w:pPr>
    </w:p>
    <w:p w14:paraId="5F5E98D0" w14:textId="1BB0130B" w:rsidR="00A5246F" w:rsidRDefault="000723CE" w:rsidP="00A5246F">
      <w:pPr>
        <w:pStyle w:val="ListParagraph"/>
        <w:ind w:left="1440"/>
        <w:rPr>
          <w:rFonts w:ascii="Arial" w:hAnsi="Arial"/>
        </w:rPr>
      </w:pPr>
      <w:r>
        <w:rPr>
          <w:rFonts w:ascii="Arial" w:hAnsi="Arial"/>
        </w:rPr>
        <w:t>H</w:t>
      </w:r>
      <w:r w:rsidR="00DD5FCD">
        <w:rPr>
          <w:rFonts w:ascii="Arial" w:hAnsi="Arial"/>
        </w:rPr>
        <w:tab/>
        <w:t>See Note 8</w:t>
      </w:r>
      <w:r w:rsidR="00A5246F">
        <w:rPr>
          <w:rFonts w:ascii="Arial" w:hAnsi="Arial"/>
        </w:rPr>
        <w:t xml:space="preserve"> to the Accounts.  Show the information included there.  State the </w:t>
      </w:r>
      <w:r w:rsidR="00D56B56">
        <w:rPr>
          <w:rFonts w:ascii="Arial" w:hAnsi="Arial"/>
        </w:rPr>
        <w:t xml:space="preserve">actual average </w:t>
      </w:r>
      <w:r w:rsidR="00A5246F">
        <w:rPr>
          <w:rFonts w:ascii="Arial" w:hAnsi="Arial"/>
        </w:rPr>
        <w:t xml:space="preserve">number of employees, not the full time equivalent.  Accrue for holiday pay </w:t>
      </w:r>
      <w:r w:rsidR="0078056C">
        <w:rPr>
          <w:rFonts w:ascii="Arial" w:hAnsi="Arial"/>
        </w:rPr>
        <w:t xml:space="preserve">and cost of sabbatical(s) </w:t>
      </w:r>
      <w:r w:rsidR="00A5246F">
        <w:rPr>
          <w:rFonts w:ascii="Arial" w:hAnsi="Arial"/>
        </w:rPr>
        <w:t xml:space="preserve">if </w:t>
      </w:r>
      <w:r w:rsidR="0078056C">
        <w:rPr>
          <w:rFonts w:ascii="Arial" w:hAnsi="Arial"/>
        </w:rPr>
        <w:t>they are</w:t>
      </w:r>
      <w:r w:rsidR="00A5246F">
        <w:rPr>
          <w:rFonts w:ascii="Arial" w:hAnsi="Arial"/>
        </w:rPr>
        <w:t xml:space="preserve"> material</w:t>
      </w:r>
      <w:r w:rsidR="0078056C">
        <w:rPr>
          <w:rFonts w:ascii="Arial" w:hAnsi="Arial"/>
        </w:rPr>
        <w:t xml:space="preserve"> individually or in aggregate</w:t>
      </w:r>
      <w:r w:rsidR="00A5246F">
        <w:rPr>
          <w:rFonts w:ascii="Arial" w:hAnsi="Arial"/>
        </w:rPr>
        <w:t xml:space="preserve">.  Confirm that no </w:t>
      </w:r>
      <w:r w:rsidR="0078056C">
        <w:rPr>
          <w:rFonts w:ascii="Arial" w:hAnsi="Arial"/>
        </w:rPr>
        <w:t xml:space="preserve">person </w:t>
      </w:r>
      <w:r w:rsidR="00A5246F">
        <w:rPr>
          <w:rFonts w:ascii="Arial" w:hAnsi="Arial"/>
        </w:rPr>
        <w:t xml:space="preserve">has </w:t>
      </w:r>
      <w:r w:rsidR="0078056C">
        <w:rPr>
          <w:rFonts w:ascii="Arial" w:hAnsi="Arial"/>
        </w:rPr>
        <w:t>received more than £60k in stipend/salary and benefits</w:t>
      </w:r>
      <w:r w:rsidR="00A5246F">
        <w:rPr>
          <w:rFonts w:ascii="Arial" w:hAnsi="Arial"/>
        </w:rPr>
        <w:t>.</w:t>
      </w:r>
    </w:p>
    <w:p w14:paraId="4B193ADB" w14:textId="77777777" w:rsidR="00A5246F" w:rsidRDefault="00A5246F" w:rsidP="00A5246F">
      <w:pPr>
        <w:pStyle w:val="ListParagraph"/>
        <w:rPr>
          <w:rFonts w:ascii="Arial" w:hAnsi="Arial"/>
        </w:rPr>
      </w:pPr>
    </w:p>
    <w:p w14:paraId="21F3AE7D" w14:textId="67D43D31" w:rsidR="00A5246F" w:rsidRDefault="000723CE" w:rsidP="00DD5FCD">
      <w:pPr>
        <w:pStyle w:val="ListParagraph"/>
        <w:ind w:left="1440"/>
        <w:rPr>
          <w:rFonts w:ascii="Arial" w:hAnsi="Arial"/>
        </w:rPr>
      </w:pPr>
      <w:r>
        <w:rPr>
          <w:rFonts w:ascii="Arial" w:hAnsi="Arial"/>
        </w:rPr>
        <w:t>I</w:t>
      </w:r>
      <w:r w:rsidR="00A5246F">
        <w:rPr>
          <w:rFonts w:ascii="Arial" w:hAnsi="Arial"/>
        </w:rPr>
        <w:tab/>
        <w:t>The cost of the Chair in Note</w:t>
      </w:r>
      <w:r w:rsidR="00DD5FCD">
        <w:rPr>
          <w:rFonts w:ascii="Arial" w:hAnsi="Arial"/>
        </w:rPr>
        <w:t>s</w:t>
      </w:r>
      <w:r w:rsidR="00A5246F">
        <w:rPr>
          <w:rFonts w:ascii="Arial" w:hAnsi="Arial"/>
        </w:rPr>
        <w:t xml:space="preserve"> 5 </w:t>
      </w:r>
      <w:r w:rsidR="00DD5FCD">
        <w:rPr>
          <w:rFonts w:ascii="Arial" w:hAnsi="Arial"/>
        </w:rPr>
        <w:t xml:space="preserve">and 8 </w:t>
      </w:r>
      <w:r w:rsidR="00A5246F">
        <w:rPr>
          <w:rFonts w:ascii="Arial" w:hAnsi="Arial"/>
        </w:rPr>
        <w:t xml:space="preserve">should be the same as in line </w:t>
      </w:r>
      <w:r w:rsidR="0078056C">
        <w:rPr>
          <w:rFonts w:ascii="Arial" w:hAnsi="Arial"/>
        </w:rPr>
        <w:t>6</w:t>
      </w:r>
      <w:r w:rsidR="00A5246F">
        <w:rPr>
          <w:rFonts w:ascii="Arial" w:hAnsi="Arial"/>
        </w:rPr>
        <w:t xml:space="preserve"> of the SOFA.</w:t>
      </w:r>
    </w:p>
    <w:p w14:paraId="1C79BD77" w14:textId="77777777" w:rsidR="00A5246F" w:rsidRDefault="00A5246F" w:rsidP="00A5246F">
      <w:pPr>
        <w:pStyle w:val="ListParagraph"/>
        <w:rPr>
          <w:rFonts w:ascii="Arial" w:hAnsi="Arial"/>
        </w:rPr>
      </w:pPr>
    </w:p>
    <w:p w14:paraId="05663FB9" w14:textId="3DBA9802" w:rsidR="00A5246F" w:rsidRDefault="000723CE" w:rsidP="00A5246F">
      <w:pPr>
        <w:pStyle w:val="ListParagraph"/>
        <w:ind w:firstLine="720"/>
        <w:rPr>
          <w:rFonts w:ascii="Arial" w:hAnsi="Arial"/>
        </w:rPr>
      </w:pPr>
      <w:r>
        <w:rPr>
          <w:rFonts w:ascii="Arial" w:hAnsi="Arial"/>
        </w:rPr>
        <w:t>J</w:t>
      </w:r>
      <w:r w:rsidR="00A5246F">
        <w:rPr>
          <w:rFonts w:ascii="Arial" w:hAnsi="Arial"/>
        </w:rPr>
        <w:tab/>
        <w:t>Show the basis used to calcula</w:t>
      </w:r>
      <w:r w:rsidR="00DD5FCD">
        <w:rPr>
          <w:rFonts w:ascii="Arial" w:hAnsi="Arial"/>
        </w:rPr>
        <w:t>te the depreciation; see Note 15</w:t>
      </w:r>
      <w:r w:rsidR="00A5246F">
        <w:rPr>
          <w:rFonts w:ascii="Arial" w:hAnsi="Arial"/>
        </w:rPr>
        <w:t>.</w:t>
      </w:r>
    </w:p>
    <w:p w14:paraId="3EA7463E" w14:textId="77777777" w:rsidR="00A5246F" w:rsidRDefault="00A5246F" w:rsidP="00A5246F">
      <w:pPr>
        <w:pStyle w:val="ListParagraph"/>
        <w:rPr>
          <w:rFonts w:ascii="Arial" w:hAnsi="Arial"/>
        </w:rPr>
      </w:pPr>
    </w:p>
    <w:p w14:paraId="323E8E8B" w14:textId="77777777" w:rsidR="00A5246F" w:rsidRDefault="000723CE" w:rsidP="00A5246F">
      <w:pPr>
        <w:pStyle w:val="ListParagraph"/>
        <w:ind w:firstLine="720"/>
        <w:rPr>
          <w:rFonts w:ascii="Arial" w:hAnsi="Arial"/>
        </w:rPr>
      </w:pPr>
      <w:r>
        <w:rPr>
          <w:rFonts w:ascii="Arial" w:hAnsi="Arial"/>
        </w:rPr>
        <w:t>K</w:t>
      </w:r>
      <w:r w:rsidR="00A5246F">
        <w:rPr>
          <w:rFonts w:ascii="Arial" w:hAnsi="Arial"/>
        </w:rPr>
        <w:tab/>
        <w:t>Provide an analysis where appropriate.</w:t>
      </w:r>
    </w:p>
    <w:p w14:paraId="24EF320E" w14:textId="77777777" w:rsidR="00A5246F" w:rsidRDefault="00A5246F" w:rsidP="00A5246F">
      <w:pPr>
        <w:pStyle w:val="ListParagraph"/>
        <w:rPr>
          <w:rFonts w:ascii="Arial" w:hAnsi="Arial"/>
        </w:rPr>
      </w:pPr>
    </w:p>
    <w:p w14:paraId="07600879" w14:textId="77777777" w:rsidR="00A5246F" w:rsidRDefault="000723CE" w:rsidP="00A5246F">
      <w:pPr>
        <w:pStyle w:val="ListParagraph"/>
        <w:ind w:left="1440"/>
        <w:rPr>
          <w:rFonts w:ascii="Arial" w:hAnsi="Arial"/>
        </w:rPr>
      </w:pPr>
      <w:r>
        <w:rPr>
          <w:rFonts w:ascii="Arial" w:hAnsi="Arial"/>
        </w:rPr>
        <w:t>L</w:t>
      </w:r>
      <w:r w:rsidR="00A5246F">
        <w:rPr>
          <w:rFonts w:ascii="Arial" w:hAnsi="Arial"/>
        </w:rPr>
        <w:tab/>
        <w:t xml:space="preserve">Provide an analysis where appropriate.  Omit the sum that MCH refunds to delegates to Conference even though this is passed through the District.  Include here any additional costs incurred by delegates, not refunded by MCH, </w:t>
      </w:r>
      <w:proofErr w:type="spellStart"/>
      <w:r w:rsidR="00A5246F">
        <w:rPr>
          <w:rFonts w:ascii="Arial" w:hAnsi="Arial"/>
          <w:i/>
        </w:rPr>
        <w:t>eg</w:t>
      </w:r>
      <w:proofErr w:type="spellEnd"/>
      <w:r w:rsidR="00A5246F">
        <w:rPr>
          <w:rFonts w:ascii="Arial" w:hAnsi="Arial"/>
          <w:i/>
        </w:rPr>
        <w:t xml:space="preserve"> </w:t>
      </w:r>
      <w:r w:rsidR="00A5246F">
        <w:rPr>
          <w:rFonts w:ascii="Arial" w:hAnsi="Arial"/>
        </w:rPr>
        <w:t>the cost of attending a pre Conference meeting within the District.</w:t>
      </w:r>
    </w:p>
    <w:p w14:paraId="0A31C514" w14:textId="77777777" w:rsidR="00A5246F" w:rsidRDefault="00A5246F" w:rsidP="00A5246F">
      <w:pPr>
        <w:pStyle w:val="ListParagraph"/>
        <w:rPr>
          <w:rFonts w:ascii="Arial" w:hAnsi="Arial"/>
        </w:rPr>
      </w:pPr>
    </w:p>
    <w:p w14:paraId="10001D33" w14:textId="77777777" w:rsidR="009515E5" w:rsidRDefault="009515E5" w:rsidP="00A5246F">
      <w:pPr>
        <w:pStyle w:val="ListParagraph"/>
        <w:ind w:firstLine="720"/>
        <w:rPr>
          <w:rFonts w:ascii="Arial" w:hAnsi="Arial"/>
        </w:rPr>
      </w:pPr>
    </w:p>
    <w:p w14:paraId="6F6CEB57" w14:textId="77777777" w:rsidR="009515E5" w:rsidRDefault="009515E5" w:rsidP="00A5246F">
      <w:pPr>
        <w:pStyle w:val="ListParagraph"/>
        <w:ind w:firstLine="720"/>
        <w:rPr>
          <w:rFonts w:ascii="Arial" w:hAnsi="Arial"/>
        </w:rPr>
      </w:pPr>
    </w:p>
    <w:p w14:paraId="408D6330" w14:textId="77777777" w:rsidR="009515E5" w:rsidRDefault="009515E5" w:rsidP="00A5246F">
      <w:pPr>
        <w:pStyle w:val="ListParagraph"/>
        <w:ind w:firstLine="720"/>
        <w:rPr>
          <w:rFonts w:ascii="Arial" w:hAnsi="Arial"/>
        </w:rPr>
      </w:pPr>
    </w:p>
    <w:p w14:paraId="0B230893" w14:textId="77777777" w:rsidR="009515E5" w:rsidRDefault="009515E5" w:rsidP="00A5246F">
      <w:pPr>
        <w:pStyle w:val="ListParagraph"/>
        <w:ind w:firstLine="720"/>
        <w:rPr>
          <w:rFonts w:ascii="Arial" w:hAnsi="Arial"/>
        </w:rPr>
      </w:pPr>
    </w:p>
    <w:p w14:paraId="5A0CA49A" w14:textId="77777777" w:rsidR="009515E5" w:rsidRDefault="009515E5" w:rsidP="00A5246F">
      <w:pPr>
        <w:pStyle w:val="ListParagraph"/>
        <w:ind w:firstLine="720"/>
        <w:rPr>
          <w:rFonts w:ascii="Arial" w:hAnsi="Arial"/>
        </w:rPr>
      </w:pPr>
    </w:p>
    <w:p w14:paraId="32138070" w14:textId="77777777" w:rsidR="009515E5" w:rsidRDefault="009515E5" w:rsidP="00A5246F">
      <w:pPr>
        <w:pStyle w:val="ListParagraph"/>
        <w:ind w:firstLine="720"/>
        <w:rPr>
          <w:rFonts w:ascii="Arial" w:hAnsi="Arial"/>
        </w:rPr>
      </w:pPr>
    </w:p>
    <w:p w14:paraId="32624FCE" w14:textId="77777777" w:rsidR="00A5246F" w:rsidRDefault="000723CE" w:rsidP="00A5246F">
      <w:pPr>
        <w:pStyle w:val="ListParagraph"/>
        <w:ind w:firstLine="720"/>
        <w:rPr>
          <w:rFonts w:ascii="Arial" w:hAnsi="Arial"/>
        </w:rPr>
      </w:pPr>
      <w:r>
        <w:rPr>
          <w:rFonts w:ascii="Arial" w:hAnsi="Arial"/>
        </w:rPr>
        <w:t>M</w:t>
      </w:r>
      <w:r w:rsidR="00A5246F">
        <w:rPr>
          <w:rFonts w:ascii="Arial" w:hAnsi="Arial"/>
        </w:rPr>
        <w:tab/>
        <w:t>Analyse where appropriate.</w:t>
      </w:r>
    </w:p>
    <w:p w14:paraId="20480F47" w14:textId="77777777" w:rsidR="000723CE" w:rsidRDefault="000723CE" w:rsidP="00A5246F">
      <w:pPr>
        <w:pStyle w:val="ListParagraph"/>
        <w:ind w:left="1418"/>
        <w:rPr>
          <w:rFonts w:ascii="Arial" w:hAnsi="Arial"/>
        </w:rPr>
      </w:pPr>
    </w:p>
    <w:p w14:paraId="077EED57" w14:textId="3A665DAB" w:rsidR="00A5246F" w:rsidRDefault="000723CE" w:rsidP="00A5246F">
      <w:pPr>
        <w:pStyle w:val="ListParagraph"/>
        <w:ind w:left="1418"/>
        <w:rPr>
          <w:rFonts w:ascii="Arial" w:hAnsi="Arial"/>
        </w:rPr>
      </w:pPr>
      <w:r>
        <w:rPr>
          <w:rFonts w:ascii="Arial" w:hAnsi="Arial"/>
        </w:rPr>
        <w:t>N</w:t>
      </w:r>
      <w:r w:rsidR="00A5246F">
        <w:rPr>
          <w:rFonts w:ascii="Arial" w:hAnsi="Arial"/>
        </w:rPr>
        <w:tab/>
        <w:t xml:space="preserve">The </w:t>
      </w:r>
      <w:r w:rsidR="00A5246F">
        <w:rPr>
          <w:rFonts w:ascii="Arial" w:hAnsi="Arial"/>
          <w:i/>
        </w:rPr>
        <w:t>Other outgo</w:t>
      </w:r>
      <w:r w:rsidR="00DD5FCD">
        <w:rPr>
          <w:rFonts w:ascii="Arial" w:hAnsi="Arial"/>
          <w:i/>
        </w:rPr>
        <w:t>ings</w:t>
      </w:r>
      <w:r w:rsidR="00A5246F">
        <w:rPr>
          <w:rFonts w:ascii="Arial" w:hAnsi="Arial"/>
          <w:i/>
        </w:rPr>
        <w:t xml:space="preserve"> </w:t>
      </w:r>
      <w:r w:rsidR="00A5246F">
        <w:rPr>
          <w:rFonts w:ascii="Arial" w:hAnsi="Arial"/>
        </w:rPr>
        <w:t>should not be a significant sum in comparison with others in this column.</w:t>
      </w:r>
    </w:p>
    <w:p w14:paraId="2B63CE37" w14:textId="77777777" w:rsidR="00A5246F" w:rsidRDefault="00A5246F" w:rsidP="00A5246F">
      <w:pPr>
        <w:pStyle w:val="ListParagraph"/>
        <w:rPr>
          <w:rFonts w:ascii="Arial" w:hAnsi="Arial"/>
        </w:rPr>
      </w:pPr>
    </w:p>
    <w:p w14:paraId="2EEAE2E2" w14:textId="6FA1457D" w:rsidR="00A5246F" w:rsidRDefault="000723CE" w:rsidP="00A5246F">
      <w:pPr>
        <w:pStyle w:val="ListParagraph"/>
        <w:ind w:left="1418"/>
        <w:rPr>
          <w:rFonts w:ascii="Arial" w:hAnsi="Arial"/>
        </w:rPr>
      </w:pPr>
      <w:r>
        <w:rPr>
          <w:rFonts w:ascii="Arial" w:hAnsi="Arial"/>
        </w:rPr>
        <w:t>P</w:t>
      </w:r>
      <w:r w:rsidR="00A5246F">
        <w:rPr>
          <w:rFonts w:ascii="Arial" w:hAnsi="Arial"/>
        </w:rPr>
        <w:tab/>
        <w:t xml:space="preserve">If the District has both unrealised gains and unrealised losses, consider </w:t>
      </w:r>
      <w:r w:rsidR="00DD5FCD">
        <w:rPr>
          <w:rFonts w:ascii="Arial" w:hAnsi="Arial"/>
        </w:rPr>
        <w:t>including a note with</w:t>
      </w:r>
      <w:r w:rsidR="00A5246F">
        <w:rPr>
          <w:rFonts w:ascii="Arial" w:hAnsi="Arial"/>
        </w:rPr>
        <w:t xml:space="preserve"> a breakdown into gross losses and gross gains</w:t>
      </w:r>
      <w:r w:rsidR="00067810">
        <w:rPr>
          <w:rFonts w:ascii="Arial" w:hAnsi="Arial"/>
        </w:rPr>
        <w:t xml:space="preserve"> but do not split the figure on the SOFA.</w:t>
      </w:r>
    </w:p>
    <w:p w14:paraId="040EB5D9" w14:textId="77777777" w:rsidR="00A5246F" w:rsidRDefault="00A5246F" w:rsidP="00A5246F">
      <w:pPr>
        <w:pStyle w:val="ListParagraph"/>
        <w:ind w:left="1418" w:firstLine="22"/>
        <w:rPr>
          <w:rFonts w:ascii="Arial" w:hAnsi="Arial"/>
        </w:rPr>
      </w:pPr>
    </w:p>
    <w:p w14:paraId="3E439DE4" w14:textId="65AFD7DA" w:rsidR="00067810" w:rsidRDefault="00067810" w:rsidP="00A5246F">
      <w:pPr>
        <w:pStyle w:val="ListParagraph"/>
        <w:ind w:left="1418" w:firstLine="22"/>
        <w:rPr>
          <w:rFonts w:ascii="Arial" w:hAnsi="Arial"/>
        </w:rPr>
      </w:pPr>
      <w:r>
        <w:rPr>
          <w:rFonts w:ascii="Arial" w:hAnsi="Arial"/>
        </w:rPr>
        <w:t>Q</w:t>
      </w:r>
      <w:r>
        <w:rPr>
          <w:rFonts w:ascii="Arial" w:hAnsi="Arial"/>
        </w:rPr>
        <w:tab/>
        <w:t>Ensure that the transfers sum to nil.</w:t>
      </w:r>
    </w:p>
    <w:p w14:paraId="430D0619" w14:textId="77777777" w:rsidR="00067810" w:rsidRDefault="00067810" w:rsidP="00A5246F">
      <w:pPr>
        <w:pStyle w:val="ListParagraph"/>
        <w:ind w:left="1418" w:firstLine="22"/>
        <w:rPr>
          <w:rFonts w:ascii="Arial" w:hAnsi="Arial"/>
        </w:rPr>
      </w:pPr>
    </w:p>
    <w:p w14:paraId="4362ECB8" w14:textId="32FBE553" w:rsidR="00A5246F" w:rsidRPr="008A2446" w:rsidRDefault="000723CE" w:rsidP="00A5246F">
      <w:pPr>
        <w:pStyle w:val="ListParagraph"/>
        <w:ind w:left="1418" w:firstLine="22"/>
        <w:rPr>
          <w:rFonts w:ascii="Arial" w:hAnsi="Arial"/>
          <w:color w:val="000000" w:themeColor="text1"/>
        </w:rPr>
      </w:pPr>
      <w:r>
        <w:rPr>
          <w:rFonts w:ascii="Arial" w:hAnsi="Arial"/>
        </w:rPr>
        <w:t>R</w:t>
      </w:r>
      <w:r w:rsidR="00A5246F">
        <w:rPr>
          <w:rFonts w:ascii="Arial" w:hAnsi="Arial"/>
        </w:rPr>
        <w:tab/>
      </w:r>
      <w:r w:rsidR="00CF00A3">
        <w:rPr>
          <w:rFonts w:ascii="Arial" w:hAnsi="Arial"/>
        </w:rPr>
        <w:t>For</w:t>
      </w:r>
      <w:r w:rsidR="00A5246F">
        <w:rPr>
          <w:rFonts w:ascii="Arial" w:hAnsi="Arial"/>
        </w:rPr>
        <w:t xml:space="preserve"> the District manse state </w:t>
      </w:r>
      <w:r w:rsidR="00067810">
        <w:rPr>
          <w:rFonts w:ascii="Arial" w:hAnsi="Arial"/>
        </w:rPr>
        <w:t xml:space="preserve">in the Notes </w:t>
      </w:r>
      <w:r w:rsidR="00A5246F">
        <w:rPr>
          <w:rFonts w:ascii="Arial" w:hAnsi="Arial"/>
        </w:rPr>
        <w:t>whether it is held freehold or leasehold.  See separate advice on valuation.</w:t>
      </w:r>
      <w:r w:rsidR="00764F33">
        <w:rPr>
          <w:rFonts w:ascii="Arial" w:hAnsi="Arial"/>
        </w:rPr>
        <w:t xml:space="preserve">  </w:t>
      </w:r>
      <w:r w:rsidR="00764F33" w:rsidRPr="008A2446">
        <w:rPr>
          <w:rFonts w:ascii="Arial" w:hAnsi="Arial"/>
          <w:color w:val="000000" w:themeColor="text1"/>
        </w:rPr>
        <w:t xml:space="preserve">For tangible fixed assets carried not at historical cost to date but at current fair value, show the date of last valuation, whether or not an independent </w:t>
      </w:r>
      <w:proofErr w:type="spellStart"/>
      <w:r w:rsidR="00764F33" w:rsidRPr="008A2446">
        <w:rPr>
          <w:rFonts w:ascii="Arial" w:hAnsi="Arial"/>
          <w:color w:val="000000" w:themeColor="text1"/>
        </w:rPr>
        <w:t>valuer</w:t>
      </w:r>
      <w:proofErr w:type="spellEnd"/>
      <w:r w:rsidR="00764F33" w:rsidRPr="008A2446">
        <w:rPr>
          <w:rFonts w:ascii="Arial" w:hAnsi="Arial"/>
          <w:color w:val="000000" w:themeColor="text1"/>
        </w:rPr>
        <w:t xml:space="preserve"> was involved, the methods and significant assumptions applied in estimating any significant asset’s fair value, and the aggregate carrying amount that would have been recognised had the assets been carried at historical cost.</w:t>
      </w:r>
    </w:p>
    <w:p w14:paraId="37FE547C" w14:textId="77777777" w:rsidR="00764F33" w:rsidRPr="008A2446" w:rsidRDefault="00764F33" w:rsidP="00A5246F">
      <w:pPr>
        <w:pStyle w:val="ListParagraph"/>
        <w:ind w:left="1418" w:firstLine="22"/>
        <w:rPr>
          <w:rFonts w:ascii="Arial" w:hAnsi="Arial"/>
          <w:color w:val="000000" w:themeColor="text1"/>
        </w:rPr>
      </w:pPr>
    </w:p>
    <w:p w14:paraId="0499778C" w14:textId="0E8BF9E6" w:rsidR="00764F33" w:rsidRDefault="00764F33" w:rsidP="00A5246F">
      <w:pPr>
        <w:pStyle w:val="ListParagraph"/>
        <w:ind w:left="1418" w:firstLine="22"/>
        <w:rPr>
          <w:rFonts w:ascii="Arial" w:hAnsi="Arial"/>
          <w:color w:val="000000" w:themeColor="text1"/>
        </w:rPr>
      </w:pPr>
      <w:r w:rsidRPr="008A2446">
        <w:rPr>
          <w:rFonts w:ascii="Arial" w:hAnsi="Arial"/>
          <w:color w:val="000000" w:themeColor="text1"/>
        </w:rPr>
        <w:t>For any investment property disclose the method and significant assumptions applied in determining fair value.</w:t>
      </w:r>
    </w:p>
    <w:p w14:paraId="02021A66" w14:textId="77777777" w:rsidR="007C703A" w:rsidRDefault="007C703A" w:rsidP="00A5246F">
      <w:pPr>
        <w:pStyle w:val="ListParagraph"/>
        <w:ind w:left="1418" w:firstLine="22"/>
        <w:rPr>
          <w:rFonts w:ascii="Arial" w:hAnsi="Arial"/>
          <w:color w:val="000000" w:themeColor="text1"/>
        </w:rPr>
      </w:pPr>
    </w:p>
    <w:p w14:paraId="25BB5F66" w14:textId="77CDE4A7" w:rsidR="007C703A" w:rsidRPr="0046021D" w:rsidRDefault="007C703A" w:rsidP="00C949EF">
      <w:pPr>
        <w:pStyle w:val="ListParagraph"/>
        <w:ind w:left="1418" w:firstLine="22"/>
      </w:pPr>
      <w:r>
        <w:rPr>
          <w:rFonts w:ascii="Arial" w:hAnsi="Arial"/>
        </w:rPr>
        <w:t>Some entities annually revalue their properties according to advice that they receive from their insurers about the rebuild cost.  The 2016-17 accruals-based accounts will include a reconciliation of the published figures for 2015-16 FRSSE accounts with the comparatives column in the 2016-17 FRS102 accounts.  The values of functional/operational properties will have been frozen at 31 August 2015 and will be established as the deemed historical cost.  If the 2015-16 values were uplifted at 31 August 2016, this uplift will need to be removed from the comparatives column when preparing the FRS102 accounts for 2016-17.  This will affect the asset values and the funds by a like amount.  No similar adjustment should be necessary in future years.</w:t>
      </w:r>
    </w:p>
    <w:p w14:paraId="45203319" w14:textId="77777777" w:rsidR="00A5246F" w:rsidRPr="0046021D" w:rsidRDefault="00A5246F" w:rsidP="0046021D">
      <w:pPr>
        <w:rPr>
          <w:rFonts w:ascii="Arial" w:hAnsi="Arial"/>
        </w:rPr>
      </w:pPr>
    </w:p>
    <w:p w14:paraId="7F552144" w14:textId="6A095474" w:rsidR="00A5246F" w:rsidRDefault="000723CE" w:rsidP="00A5246F">
      <w:pPr>
        <w:pStyle w:val="ListParagraph"/>
        <w:ind w:left="1418"/>
        <w:rPr>
          <w:rFonts w:ascii="Arial" w:hAnsi="Arial"/>
        </w:rPr>
      </w:pPr>
      <w:r>
        <w:rPr>
          <w:rFonts w:ascii="Arial" w:hAnsi="Arial"/>
        </w:rPr>
        <w:t>S</w:t>
      </w:r>
      <w:r w:rsidR="00A5246F">
        <w:rPr>
          <w:rFonts w:ascii="Arial" w:hAnsi="Arial"/>
        </w:rPr>
        <w:tab/>
        <w:t xml:space="preserve">For </w:t>
      </w:r>
      <w:r w:rsidR="00067810">
        <w:rPr>
          <w:rFonts w:ascii="Arial" w:hAnsi="Arial"/>
        </w:rPr>
        <w:t>Debtors</w:t>
      </w:r>
      <w:r w:rsidR="00A5246F">
        <w:rPr>
          <w:rFonts w:ascii="Arial" w:hAnsi="Arial"/>
        </w:rPr>
        <w:t>, show the information disclosed in Note 16.</w:t>
      </w:r>
      <w:r w:rsidR="00764F33">
        <w:rPr>
          <w:rFonts w:ascii="Arial" w:hAnsi="Arial"/>
        </w:rPr>
        <w:t xml:space="preserve">  For any provision show an analysis reconciling the opening and closing carrying amounts of each class of provision.</w:t>
      </w:r>
    </w:p>
    <w:p w14:paraId="7BB4CFE2" w14:textId="77777777" w:rsidR="00E87FE6" w:rsidRDefault="00E87FE6" w:rsidP="00A5246F">
      <w:pPr>
        <w:pStyle w:val="ListParagraph"/>
        <w:ind w:left="1418"/>
        <w:rPr>
          <w:rFonts w:ascii="Arial" w:hAnsi="Arial"/>
        </w:rPr>
      </w:pPr>
    </w:p>
    <w:p w14:paraId="56434B34" w14:textId="173FA976" w:rsidR="00A5246F" w:rsidRPr="00B8458D" w:rsidRDefault="000723CE" w:rsidP="00A5246F">
      <w:pPr>
        <w:pStyle w:val="ListParagraph"/>
        <w:ind w:left="1418"/>
        <w:rPr>
          <w:color w:val="FF0000"/>
          <w:sz w:val="32"/>
        </w:rPr>
      </w:pPr>
      <w:r>
        <w:rPr>
          <w:rFonts w:ascii="Arial" w:hAnsi="Arial"/>
        </w:rPr>
        <w:t>T</w:t>
      </w:r>
      <w:r w:rsidR="00A5246F">
        <w:rPr>
          <w:rFonts w:ascii="Arial" w:hAnsi="Arial"/>
        </w:rPr>
        <w:tab/>
        <w:t xml:space="preserve">Treasurers are recommended to show the CFB balances separate from the sums held </w:t>
      </w:r>
      <w:r w:rsidR="00A5246F" w:rsidRPr="00594C18">
        <w:rPr>
          <w:rFonts w:ascii="Arial" w:hAnsi="Arial"/>
        </w:rPr>
        <w:t>at TMCP</w:t>
      </w:r>
      <w:r w:rsidR="00067810">
        <w:rPr>
          <w:rFonts w:ascii="Arial" w:hAnsi="Arial"/>
        </w:rPr>
        <w:t xml:space="preserve"> and consider whether most or all of the TMCP balances should be shown under Fixed Asset</w:t>
      </w:r>
      <w:r w:rsidR="00764F33">
        <w:rPr>
          <w:rFonts w:ascii="Arial" w:hAnsi="Arial" w:cs="Arial"/>
        </w:rPr>
        <w:t>s.  Explain in the Notes the basis on which any investment assets are held as current assets and how the entity has defined any short term or highly liquid investments as current assets.</w:t>
      </w:r>
    </w:p>
    <w:p w14:paraId="6EA8DEEF" w14:textId="77777777" w:rsidR="00A5246F" w:rsidRPr="003F3A7A" w:rsidRDefault="00A5246F" w:rsidP="00A5246F">
      <w:pPr>
        <w:rPr>
          <w:rFonts w:ascii="Arial" w:hAnsi="Arial"/>
        </w:rPr>
      </w:pPr>
    </w:p>
    <w:p w14:paraId="5F7D56E1" w14:textId="52F111B8" w:rsidR="00A5246F" w:rsidRDefault="000723CE" w:rsidP="00A5246F">
      <w:pPr>
        <w:pStyle w:val="ListParagraph"/>
        <w:ind w:left="1418"/>
        <w:rPr>
          <w:rFonts w:ascii="Arial" w:hAnsi="Arial"/>
        </w:rPr>
      </w:pPr>
      <w:r>
        <w:rPr>
          <w:rFonts w:ascii="Arial" w:hAnsi="Arial"/>
        </w:rPr>
        <w:t>U</w:t>
      </w:r>
      <w:r w:rsidR="00A5246F">
        <w:rPr>
          <w:rFonts w:ascii="Arial" w:hAnsi="Arial"/>
        </w:rPr>
        <w:tab/>
        <w:t xml:space="preserve">For </w:t>
      </w:r>
      <w:r w:rsidR="00067810">
        <w:rPr>
          <w:rFonts w:ascii="Arial" w:hAnsi="Arial"/>
        </w:rPr>
        <w:t xml:space="preserve">Creditors </w:t>
      </w:r>
      <w:r w:rsidR="00FD6108">
        <w:rPr>
          <w:rFonts w:ascii="Arial" w:hAnsi="Arial"/>
        </w:rPr>
        <w:t>show the information in Note 1</w:t>
      </w:r>
      <w:r w:rsidR="00C861E7">
        <w:rPr>
          <w:rFonts w:ascii="Arial" w:hAnsi="Arial"/>
        </w:rPr>
        <w:t>9</w:t>
      </w:r>
      <w:r w:rsidR="00A5246F">
        <w:rPr>
          <w:rFonts w:ascii="Arial" w:hAnsi="Arial"/>
        </w:rPr>
        <w:t>.</w:t>
      </w:r>
    </w:p>
    <w:p w14:paraId="48B7A0D8" w14:textId="77777777" w:rsidR="008B4DEC" w:rsidRDefault="008B4DEC" w:rsidP="00A5246F">
      <w:pPr>
        <w:pStyle w:val="ListParagraph"/>
        <w:ind w:left="1418"/>
        <w:rPr>
          <w:rFonts w:ascii="Arial" w:hAnsi="Arial"/>
        </w:rPr>
      </w:pPr>
    </w:p>
    <w:p w14:paraId="47A248A6" w14:textId="796FD257" w:rsidR="008B4DEC" w:rsidRDefault="008B4DEC" w:rsidP="00A5246F">
      <w:pPr>
        <w:pStyle w:val="ListParagraph"/>
        <w:ind w:left="1418"/>
        <w:rPr>
          <w:rFonts w:ascii="Arial" w:hAnsi="Arial"/>
        </w:rPr>
      </w:pPr>
      <w:r>
        <w:rPr>
          <w:rFonts w:ascii="Arial" w:hAnsi="Arial"/>
        </w:rPr>
        <w:t>V</w:t>
      </w:r>
      <w:r>
        <w:rPr>
          <w:rFonts w:ascii="Arial" w:hAnsi="Arial"/>
        </w:rPr>
        <w:tab/>
        <w:t xml:space="preserve">Most District Treasurers would prefer to show future grant commitments </w:t>
      </w:r>
      <w:r w:rsidR="00C861E7">
        <w:rPr>
          <w:rFonts w:ascii="Arial" w:hAnsi="Arial"/>
        </w:rPr>
        <w:t xml:space="preserve">on the Balance Sheet either </w:t>
      </w:r>
      <w:r>
        <w:rPr>
          <w:rFonts w:ascii="Arial" w:hAnsi="Arial"/>
        </w:rPr>
        <w:t>as designated funds</w:t>
      </w:r>
      <w:r w:rsidR="00C861E7">
        <w:rPr>
          <w:rFonts w:ascii="Arial" w:hAnsi="Arial"/>
        </w:rPr>
        <w:t xml:space="preserve"> or in the DAF column</w:t>
      </w:r>
      <w:r>
        <w:rPr>
          <w:rFonts w:ascii="Arial" w:hAnsi="Arial"/>
        </w:rPr>
        <w:t xml:space="preserve">, as included in the exemplar.  This is now the recommended method of disclosure, in preference to a Note in the accounts referring to the need for the grantee to submit information on </w:t>
      </w:r>
      <w:r>
        <w:rPr>
          <w:rFonts w:ascii="Arial" w:hAnsi="Arial"/>
        </w:rPr>
        <w:lastRenderedPageBreak/>
        <w:t>the outcome of the earlier instalment before the payment of a subsequent instalment is triggered.</w:t>
      </w:r>
    </w:p>
    <w:p w14:paraId="5B9E02B9" w14:textId="77777777" w:rsidR="00E87FE6" w:rsidRDefault="00E87FE6" w:rsidP="00A5246F">
      <w:pPr>
        <w:pStyle w:val="ListParagraph"/>
        <w:ind w:left="1418"/>
        <w:rPr>
          <w:rFonts w:ascii="Arial" w:hAnsi="Arial"/>
        </w:rPr>
      </w:pPr>
    </w:p>
    <w:p w14:paraId="57DB694B" w14:textId="1A0133BE" w:rsidR="00E87FE6" w:rsidRDefault="008B4DEC" w:rsidP="00A5246F">
      <w:pPr>
        <w:pStyle w:val="ListParagraph"/>
        <w:ind w:left="1418"/>
        <w:rPr>
          <w:rFonts w:ascii="Arial" w:hAnsi="Arial"/>
        </w:rPr>
      </w:pPr>
      <w:r>
        <w:rPr>
          <w:rFonts w:ascii="Arial" w:hAnsi="Arial"/>
        </w:rPr>
        <w:t>W</w:t>
      </w:r>
      <w:r w:rsidR="00E87FE6">
        <w:rPr>
          <w:rFonts w:ascii="Arial" w:hAnsi="Arial"/>
        </w:rPr>
        <w:tab/>
        <w:t>It is recommended that the balance shown</w:t>
      </w:r>
      <w:r>
        <w:rPr>
          <w:rFonts w:ascii="Arial" w:hAnsi="Arial"/>
        </w:rPr>
        <w:t xml:space="preserve"> for the DAF in net assets is positive.</w:t>
      </w:r>
    </w:p>
    <w:p w14:paraId="667AF0D8" w14:textId="77777777" w:rsidR="00A5246F" w:rsidRDefault="00A5246F" w:rsidP="00A5246F">
      <w:pPr>
        <w:pStyle w:val="ListParagraph"/>
        <w:ind w:left="1418"/>
        <w:rPr>
          <w:rFonts w:ascii="Arial" w:hAnsi="Arial"/>
        </w:rPr>
      </w:pPr>
    </w:p>
    <w:p w14:paraId="15767905" w14:textId="0768555E" w:rsidR="00A5246F" w:rsidRDefault="008B4DEC" w:rsidP="00A5246F">
      <w:pPr>
        <w:pStyle w:val="ListParagraph"/>
        <w:ind w:left="1418"/>
        <w:rPr>
          <w:rFonts w:ascii="Arial" w:hAnsi="Arial"/>
        </w:rPr>
      </w:pPr>
      <w:r>
        <w:rPr>
          <w:rFonts w:ascii="Arial" w:hAnsi="Arial"/>
        </w:rPr>
        <w:t>X</w:t>
      </w:r>
      <w:r w:rsidR="00A5246F">
        <w:rPr>
          <w:rFonts w:ascii="Arial" w:hAnsi="Arial"/>
        </w:rPr>
        <w:tab/>
        <w:t xml:space="preserve">Disclose </w:t>
      </w:r>
      <w:r w:rsidR="00FD6108">
        <w:rPr>
          <w:rFonts w:ascii="Arial" w:hAnsi="Arial"/>
        </w:rPr>
        <w:t>information as shown in Note 20.</w:t>
      </w:r>
    </w:p>
    <w:p w14:paraId="7D0D7387" w14:textId="77777777" w:rsidR="00A5246F" w:rsidRDefault="00A5246F" w:rsidP="00A5246F">
      <w:pPr>
        <w:pStyle w:val="ListParagraph"/>
        <w:ind w:left="1418"/>
        <w:rPr>
          <w:rFonts w:ascii="Arial" w:hAnsi="Arial"/>
        </w:rPr>
      </w:pPr>
    </w:p>
    <w:p w14:paraId="08160386" w14:textId="326416A6" w:rsidR="00A5246F" w:rsidRDefault="008B4DEC" w:rsidP="00A5246F">
      <w:pPr>
        <w:pStyle w:val="ListParagraph"/>
        <w:ind w:left="1418"/>
        <w:rPr>
          <w:rFonts w:ascii="Arial" w:hAnsi="Arial"/>
        </w:rPr>
      </w:pPr>
      <w:r>
        <w:rPr>
          <w:rFonts w:ascii="Arial" w:hAnsi="Arial"/>
        </w:rPr>
        <w:t>Y</w:t>
      </w:r>
      <w:r w:rsidR="00A5246F">
        <w:rPr>
          <w:rFonts w:ascii="Arial" w:hAnsi="Arial"/>
        </w:rPr>
        <w:tab/>
        <w:t>The contents of Notes 2</w:t>
      </w:r>
      <w:r w:rsidR="00C861E7">
        <w:rPr>
          <w:rFonts w:ascii="Arial" w:hAnsi="Arial"/>
        </w:rPr>
        <w:t>3</w:t>
      </w:r>
      <w:r w:rsidR="00A5246F">
        <w:rPr>
          <w:rFonts w:ascii="Arial" w:hAnsi="Arial"/>
        </w:rPr>
        <w:t xml:space="preserve"> through 27 should be replicated by each District.</w:t>
      </w:r>
    </w:p>
    <w:p w14:paraId="4F91DA5C" w14:textId="77777777" w:rsidR="00A5246F" w:rsidRDefault="00A5246F" w:rsidP="00A5246F">
      <w:pPr>
        <w:pStyle w:val="ListParagraph"/>
        <w:ind w:left="1418"/>
        <w:rPr>
          <w:rFonts w:ascii="Arial" w:hAnsi="Arial"/>
        </w:rPr>
      </w:pPr>
    </w:p>
    <w:p w14:paraId="2972DB7B" w14:textId="6DC9BC8E" w:rsidR="00A5246F" w:rsidRDefault="008B4DEC" w:rsidP="00A5246F">
      <w:pPr>
        <w:pStyle w:val="ListParagraph"/>
        <w:ind w:left="1418"/>
        <w:rPr>
          <w:rFonts w:ascii="Arial" w:hAnsi="Arial"/>
        </w:rPr>
      </w:pPr>
      <w:r>
        <w:rPr>
          <w:rFonts w:ascii="Arial" w:hAnsi="Arial"/>
        </w:rPr>
        <w:t>Z</w:t>
      </w:r>
      <w:r w:rsidR="00A5246F">
        <w:rPr>
          <w:rFonts w:ascii="Arial" w:hAnsi="Arial"/>
        </w:rPr>
        <w:tab/>
        <w:t>It is necessary to show the accounting policies adopted by the District</w:t>
      </w:r>
      <w:r w:rsidR="009515E5">
        <w:rPr>
          <w:rFonts w:ascii="Arial" w:hAnsi="Arial"/>
        </w:rPr>
        <w:t xml:space="preserve"> (see Note 1 to the Accounts)</w:t>
      </w:r>
      <w:r w:rsidR="00A5246F">
        <w:rPr>
          <w:rFonts w:ascii="Arial" w:hAnsi="Arial"/>
        </w:rPr>
        <w:t xml:space="preserve">.  Further, it is judged helpful if all Districts adopt the same policy for the following </w:t>
      </w:r>
      <w:r w:rsidR="009515E5">
        <w:rPr>
          <w:rFonts w:ascii="Arial" w:hAnsi="Arial"/>
        </w:rPr>
        <w:t>four</w:t>
      </w:r>
      <w:r w:rsidR="00A5246F">
        <w:rPr>
          <w:rFonts w:ascii="Arial" w:hAnsi="Arial"/>
        </w:rPr>
        <w:t xml:space="preserve"> matters</w:t>
      </w:r>
      <w:r w:rsidR="00E35840">
        <w:rPr>
          <w:rFonts w:ascii="Arial" w:hAnsi="Arial"/>
        </w:rPr>
        <w:t>, as shown in the District exemplar</w:t>
      </w:r>
      <w:r w:rsidR="00A5246F">
        <w:rPr>
          <w:rFonts w:ascii="Arial" w:hAnsi="Arial"/>
        </w:rPr>
        <w:t>:</w:t>
      </w:r>
    </w:p>
    <w:p w14:paraId="365AD247" w14:textId="77777777" w:rsidR="00A5246F" w:rsidRDefault="00A5246F" w:rsidP="00A5246F">
      <w:pPr>
        <w:pStyle w:val="ListParagraph"/>
        <w:ind w:left="1418"/>
        <w:rPr>
          <w:rFonts w:ascii="Arial" w:hAnsi="Arial"/>
        </w:rPr>
      </w:pPr>
    </w:p>
    <w:p w14:paraId="5541CA67" w14:textId="6ED4A505" w:rsidR="00A5246F" w:rsidRDefault="00A5246F" w:rsidP="00A5246F">
      <w:pPr>
        <w:pStyle w:val="ListParagraph"/>
        <w:numPr>
          <w:ilvl w:val="0"/>
          <w:numId w:val="1"/>
        </w:numPr>
        <w:rPr>
          <w:rFonts w:ascii="Arial" w:hAnsi="Arial"/>
        </w:rPr>
      </w:pPr>
      <w:r>
        <w:rPr>
          <w:rFonts w:ascii="Arial" w:hAnsi="Arial"/>
        </w:rPr>
        <w:t>the income should be shown exclusive of sums collected from Circuits and paid over to the MCF as the District is simply acting as agent for the MCF</w:t>
      </w:r>
    </w:p>
    <w:p w14:paraId="57FEBEBD" w14:textId="01DFCB29" w:rsidR="00A5246F" w:rsidRDefault="00A5246F" w:rsidP="00A5246F">
      <w:pPr>
        <w:pStyle w:val="ListParagraph"/>
        <w:numPr>
          <w:ilvl w:val="0"/>
          <w:numId w:val="1"/>
        </w:numPr>
        <w:rPr>
          <w:rFonts w:ascii="Arial" w:hAnsi="Arial"/>
        </w:rPr>
      </w:pPr>
      <w:r w:rsidRPr="00594C18">
        <w:rPr>
          <w:rFonts w:ascii="Arial" w:hAnsi="Arial"/>
        </w:rPr>
        <w:t xml:space="preserve">accounting for probable future instalments of grant </w:t>
      </w:r>
    </w:p>
    <w:p w14:paraId="4CCDCEB7" w14:textId="77051605" w:rsidR="009515E5" w:rsidRDefault="009515E5" w:rsidP="00A5246F">
      <w:pPr>
        <w:pStyle w:val="ListParagraph"/>
        <w:numPr>
          <w:ilvl w:val="0"/>
          <w:numId w:val="1"/>
        </w:numPr>
        <w:rPr>
          <w:rFonts w:ascii="Arial" w:hAnsi="Arial"/>
        </w:rPr>
      </w:pPr>
      <w:r>
        <w:rPr>
          <w:rFonts w:ascii="Arial" w:hAnsi="Arial"/>
        </w:rPr>
        <w:t>omit payments for health checks and the reimbursement received</w:t>
      </w:r>
      <w:r w:rsidR="00E35840">
        <w:rPr>
          <w:rFonts w:ascii="Arial" w:hAnsi="Arial"/>
        </w:rPr>
        <w:t xml:space="preserve"> from Circuits, but not if the costs are part of the District annual costs</w:t>
      </w:r>
    </w:p>
    <w:p w14:paraId="7FEE89F1" w14:textId="097EC625" w:rsidR="009515E5" w:rsidRPr="00594C18" w:rsidRDefault="009515E5" w:rsidP="00A5246F">
      <w:pPr>
        <w:pStyle w:val="ListParagraph"/>
        <w:numPr>
          <w:ilvl w:val="0"/>
          <w:numId w:val="1"/>
        </w:numPr>
        <w:rPr>
          <w:rFonts w:ascii="Arial" w:hAnsi="Arial"/>
        </w:rPr>
      </w:pPr>
      <w:r>
        <w:rPr>
          <w:rFonts w:ascii="Arial" w:hAnsi="Arial"/>
        </w:rPr>
        <w:t>omit the Conference expenses reimbursed by MCF</w:t>
      </w:r>
    </w:p>
    <w:p w14:paraId="62E83306" w14:textId="77777777" w:rsidR="00A5246F" w:rsidRDefault="00A5246F" w:rsidP="00A5246F">
      <w:pPr>
        <w:ind w:left="2158"/>
        <w:rPr>
          <w:rFonts w:ascii="Arial" w:hAnsi="Arial"/>
        </w:rPr>
      </w:pPr>
    </w:p>
    <w:p w14:paraId="00FA4945" w14:textId="0A4F9513" w:rsidR="00A5246F" w:rsidRDefault="00A5246F" w:rsidP="00A5246F">
      <w:pPr>
        <w:ind w:left="1440"/>
        <w:rPr>
          <w:rFonts w:ascii="Arial" w:hAnsi="Arial"/>
        </w:rPr>
      </w:pPr>
      <w:r>
        <w:rPr>
          <w:rFonts w:ascii="Arial" w:hAnsi="Arial"/>
        </w:rPr>
        <w:t xml:space="preserve">Trustees </w:t>
      </w:r>
      <w:r w:rsidR="00C861E7">
        <w:rPr>
          <w:rFonts w:ascii="Arial" w:hAnsi="Arial"/>
        </w:rPr>
        <w:t xml:space="preserve">are required under </w:t>
      </w:r>
      <w:r w:rsidR="00D56B56">
        <w:rPr>
          <w:rFonts w:ascii="Arial" w:hAnsi="Arial"/>
        </w:rPr>
        <w:t>SORP(</w:t>
      </w:r>
      <w:r w:rsidR="00C861E7">
        <w:rPr>
          <w:rFonts w:ascii="Arial" w:hAnsi="Arial"/>
        </w:rPr>
        <w:t>FRSSE</w:t>
      </w:r>
      <w:r w:rsidR="00D56B56">
        <w:rPr>
          <w:rFonts w:ascii="Arial" w:hAnsi="Arial"/>
        </w:rPr>
        <w:t>)</w:t>
      </w:r>
      <w:r w:rsidR="00C861E7">
        <w:rPr>
          <w:rFonts w:ascii="Arial" w:hAnsi="Arial"/>
        </w:rPr>
        <w:t xml:space="preserve"> </w:t>
      </w:r>
      <w:r w:rsidR="00D56B56">
        <w:rPr>
          <w:rFonts w:ascii="Arial" w:hAnsi="Arial"/>
        </w:rPr>
        <w:t xml:space="preserve">for </w:t>
      </w:r>
      <w:r w:rsidR="00C861E7">
        <w:rPr>
          <w:rFonts w:ascii="Arial" w:hAnsi="Arial"/>
        </w:rPr>
        <w:t>2015</w:t>
      </w:r>
      <w:r w:rsidR="00D56B56">
        <w:rPr>
          <w:rFonts w:ascii="Arial" w:hAnsi="Arial"/>
        </w:rPr>
        <w:t>-16</w:t>
      </w:r>
      <w:r w:rsidR="00C861E7">
        <w:rPr>
          <w:rFonts w:ascii="Arial" w:hAnsi="Arial"/>
        </w:rPr>
        <w:t xml:space="preserve">, and under </w:t>
      </w:r>
      <w:r w:rsidR="00D56B56">
        <w:rPr>
          <w:rFonts w:ascii="Arial" w:hAnsi="Arial"/>
        </w:rPr>
        <w:t>SORP(</w:t>
      </w:r>
      <w:r w:rsidR="00C861E7">
        <w:rPr>
          <w:rFonts w:ascii="Arial" w:hAnsi="Arial"/>
        </w:rPr>
        <w:t>FRS102</w:t>
      </w:r>
      <w:r w:rsidR="00D56B56">
        <w:rPr>
          <w:rFonts w:ascii="Arial" w:hAnsi="Arial"/>
        </w:rPr>
        <w:t>)</w:t>
      </w:r>
      <w:r w:rsidR="00C861E7">
        <w:rPr>
          <w:rFonts w:ascii="Arial" w:hAnsi="Arial"/>
        </w:rPr>
        <w:t xml:space="preserve"> from 2016-17 onwards, to </w:t>
      </w:r>
      <w:r w:rsidR="000B18F3">
        <w:rPr>
          <w:rFonts w:ascii="Arial" w:hAnsi="Arial"/>
        </w:rPr>
        <w:t xml:space="preserve">use </w:t>
      </w:r>
      <w:r w:rsidR="00D56B56">
        <w:rPr>
          <w:rFonts w:ascii="Arial" w:hAnsi="Arial"/>
        </w:rPr>
        <w:t xml:space="preserve">appropriate </w:t>
      </w:r>
      <w:r>
        <w:rPr>
          <w:rFonts w:ascii="Arial" w:hAnsi="Arial"/>
        </w:rPr>
        <w:t>accounting policies</w:t>
      </w:r>
      <w:r w:rsidR="00D56B56">
        <w:rPr>
          <w:rFonts w:ascii="Arial" w:hAnsi="Arial"/>
        </w:rPr>
        <w:t>,</w:t>
      </w:r>
      <w:r>
        <w:rPr>
          <w:rFonts w:ascii="Arial" w:hAnsi="Arial"/>
        </w:rPr>
        <w:t xml:space="preserve"> </w:t>
      </w:r>
      <w:r w:rsidR="00D56B56">
        <w:rPr>
          <w:rFonts w:ascii="Arial" w:hAnsi="Arial"/>
        </w:rPr>
        <w:t xml:space="preserve">and to disclose those that are significant, </w:t>
      </w:r>
      <w:proofErr w:type="spellStart"/>
      <w:r w:rsidR="00D56B56" w:rsidRPr="0046021D">
        <w:rPr>
          <w:rFonts w:ascii="Arial" w:hAnsi="Arial"/>
          <w:i/>
        </w:rPr>
        <w:t>ie</w:t>
      </w:r>
      <w:proofErr w:type="spellEnd"/>
      <w:r w:rsidR="00D56B56">
        <w:rPr>
          <w:rFonts w:ascii="Arial" w:hAnsi="Arial"/>
        </w:rPr>
        <w:t xml:space="preserve"> </w:t>
      </w:r>
      <w:r>
        <w:rPr>
          <w:rFonts w:ascii="Arial" w:hAnsi="Arial"/>
        </w:rPr>
        <w:t xml:space="preserve">that relate to the material activities of the District and </w:t>
      </w:r>
      <w:r w:rsidR="00C861E7">
        <w:rPr>
          <w:rFonts w:ascii="Arial" w:hAnsi="Arial"/>
        </w:rPr>
        <w:t xml:space="preserve">to </w:t>
      </w:r>
      <w:r w:rsidR="00D56B56">
        <w:rPr>
          <w:rFonts w:ascii="Arial" w:hAnsi="Arial"/>
        </w:rPr>
        <w:t>material events/</w:t>
      </w:r>
      <w:r>
        <w:rPr>
          <w:rFonts w:ascii="Arial" w:hAnsi="Arial"/>
        </w:rPr>
        <w:t xml:space="preserve">circumstances.  These </w:t>
      </w:r>
      <w:r w:rsidR="00C861E7">
        <w:rPr>
          <w:rFonts w:ascii="Arial" w:hAnsi="Arial"/>
        </w:rPr>
        <w:t xml:space="preserve">policies must be such as to make the financial statements understandable to users and </w:t>
      </w:r>
      <w:r>
        <w:rPr>
          <w:rFonts w:ascii="Arial" w:hAnsi="Arial"/>
        </w:rPr>
        <w:t>relevant</w:t>
      </w:r>
      <w:r w:rsidR="00C861E7">
        <w:rPr>
          <w:rFonts w:ascii="Arial" w:hAnsi="Arial"/>
        </w:rPr>
        <w:t xml:space="preserve"> to their needs, as well as</w:t>
      </w:r>
      <w:r>
        <w:rPr>
          <w:rFonts w:ascii="Arial" w:hAnsi="Arial"/>
        </w:rPr>
        <w:t xml:space="preserve"> reliable, </w:t>
      </w:r>
      <w:r w:rsidR="00C861E7">
        <w:rPr>
          <w:rFonts w:ascii="Arial" w:hAnsi="Arial"/>
        </w:rPr>
        <w:t xml:space="preserve">prudent in face of any uncertainty, </w:t>
      </w:r>
      <w:r>
        <w:rPr>
          <w:rFonts w:ascii="Arial" w:hAnsi="Arial"/>
        </w:rPr>
        <w:t>comparable and complete</w:t>
      </w:r>
      <w:r w:rsidR="00C861E7">
        <w:rPr>
          <w:rFonts w:ascii="Arial" w:hAnsi="Arial"/>
        </w:rPr>
        <w:t xml:space="preserve"> and, of course, timely</w:t>
      </w:r>
      <w:r>
        <w:rPr>
          <w:rFonts w:ascii="Arial" w:hAnsi="Arial"/>
        </w:rPr>
        <w:t xml:space="preserve">.  </w:t>
      </w:r>
      <w:r w:rsidR="00C861E7">
        <w:rPr>
          <w:rFonts w:ascii="Arial" w:hAnsi="Arial"/>
        </w:rPr>
        <w:t>The true nature of a transaction must not be obscured by its legal form, but on the other hand where the cost of providing an item of information is considered to outweigh the benefit to the accounts user, it will suffice to say so (FRS102 s.2).</w:t>
      </w:r>
      <w:r w:rsidR="0046021D">
        <w:rPr>
          <w:rFonts w:ascii="Arial" w:hAnsi="Arial"/>
        </w:rPr>
        <w:t xml:space="preserve"> </w:t>
      </w:r>
      <w:r w:rsidR="00C861E7">
        <w:rPr>
          <w:rFonts w:ascii="Arial" w:hAnsi="Arial"/>
        </w:rPr>
        <w:t xml:space="preserve"> </w:t>
      </w:r>
      <w:r>
        <w:rPr>
          <w:rFonts w:ascii="Arial" w:hAnsi="Arial"/>
        </w:rPr>
        <w:t>Were there to be any change in accounting policies between one year and the next, this should be brought to the attention of the reader and the comparative numbers adjusted appropriately.</w:t>
      </w:r>
    </w:p>
    <w:p w14:paraId="383DA514" w14:textId="77777777" w:rsidR="003846CA" w:rsidRDefault="003846CA" w:rsidP="00A5246F">
      <w:pPr>
        <w:ind w:left="1440"/>
        <w:rPr>
          <w:rFonts w:ascii="Arial" w:hAnsi="Arial"/>
        </w:rPr>
      </w:pPr>
    </w:p>
    <w:p w14:paraId="5B85B22F" w14:textId="47798616" w:rsidR="00FD6108" w:rsidRDefault="008B4DEC" w:rsidP="00A5246F">
      <w:pPr>
        <w:ind w:left="1440"/>
        <w:rPr>
          <w:rFonts w:ascii="Arial" w:hAnsi="Arial"/>
        </w:rPr>
      </w:pPr>
      <w:r>
        <w:rPr>
          <w:rFonts w:ascii="Arial" w:hAnsi="Arial"/>
        </w:rPr>
        <w:t>AA</w:t>
      </w:r>
      <w:r w:rsidR="003846CA">
        <w:rPr>
          <w:rFonts w:ascii="Arial" w:hAnsi="Arial"/>
        </w:rPr>
        <w:tab/>
        <w:t>Please ensure that the figures at the bottom of the SOFA agree with those at the bottom of the balance sheet.</w:t>
      </w:r>
    </w:p>
    <w:p w14:paraId="005E511C" w14:textId="77777777" w:rsidR="00764F33" w:rsidRDefault="00764F33" w:rsidP="00A5246F">
      <w:pPr>
        <w:ind w:left="1440"/>
        <w:rPr>
          <w:rFonts w:ascii="Arial" w:hAnsi="Arial"/>
        </w:rPr>
      </w:pPr>
    </w:p>
    <w:p w14:paraId="0EBE41F6" w14:textId="25081CD6" w:rsidR="00764F33" w:rsidRPr="004245F6" w:rsidRDefault="00764F33" w:rsidP="00A5246F">
      <w:pPr>
        <w:ind w:left="1440"/>
        <w:rPr>
          <w:rFonts w:ascii="Arial" w:hAnsi="Arial"/>
        </w:rPr>
      </w:pPr>
      <w:r w:rsidRPr="004245F6">
        <w:rPr>
          <w:rFonts w:ascii="Arial" w:hAnsi="Arial"/>
        </w:rPr>
        <w:t>AB</w:t>
      </w:r>
      <w:r w:rsidRPr="004245F6">
        <w:rPr>
          <w:rFonts w:ascii="Arial" w:hAnsi="Arial"/>
        </w:rPr>
        <w:tab/>
        <w:t>For contingent assets and contin</w:t>
      </w:r>
      <w:r w:rsidRPr="002E164C">
        <w:rPr>
          <w:rFonts w:ascii="Arial" w:hAnsi="Arial"/>
        </w:rPr>
        <w:t>gent liabilities provide the information demanded (description, estimate of value,</w:t>
      </w:r>
      <w:r w:rsidRPr="004245F6">
        <w:rPr>
          <w:rFonts w:ascii="Arial" w:hAnsi="Arial"/>
        </w:rPr>
        <w:t xml:space="preserve"> uncertainties </w:t>
      </w:r>
      <w:r w:rsidR="00FC7E2B" w:rsidRPr="004245F6">
        <w:rPr>
          <w:rFonts w:ascii="Arial" w:hAnsi="Arial"/>
        </w:rPr>
        <w:t xml:space="preserve">on timing </w:t>
      </w:r>
      <w:r w:rsidRPr="004245F6">
        <w:rPr>
          <w:rFonts w:ascii="Arial" w:hAnsi="Arial"/>
        </w:rPr>
        <w:t>or amount, and whether there could be a reimbursement</w:t>
      </w:r>
      <w:r w:rsidR="00FC7E2B" w:rsidRPr="004245F6">
        <w:rPr>
          <w:rFonts w:ascii="Arial" w:hAnsi="Arial"/>
        </w:rPr>
        <w:t>)</w:t>
      </w:r>
      <w:r w:rsidRPr="004245F6">
        <w:rPr>
          <w:rFonts w:ascii="Arial" w:hAnsi="Arial"/>
        </w:rPr>
        <w:t>.</w:t>
      </w:r>
    </w:p>
    <w:p w14:paraId="08BA7337" w14:textId="77777777" w:rsidR="00764F33" w:rsidRPr="004245F6" w:rsidRDefault="00764F33" w:rsidP="00A5246F">
      <w:pPr>
        <w:ind w:left="1440"/>
        <w:rPr>
          <w:rFonts w:ascii="Arial" w:hAnsi="Arial"/>
        </w:rPr>
      </w:pPr>
    </w:p>
    <w:p w14:paraId="5D777EE8" w14:textId="0FAFC365" w:rsidR="00764F33" w:rsidRPr="004245F6" w:rsidRDefault="00FC7E2B" w:rsidP="00A5246F">
      <w:pPr>
        <w:ind w:left="1440"/>
        <w:rPr>
          <w:rFonts w:ascii="Arial" w:hAnsi="Arial"/>
        </w:rPr>
      </w:pPr>
      <w:r w:rsidRPr="004245F6">
        <w:rPr>
          <w:rFonts w:ascii="Arial" w:hAnsi="Arial"/>
        </w:rPr>
        <w:t>AC</w:t>
      </w:r>
      <w:r w:rsidRPr="004245F6">
        <w:rPr>
          <w:rFonts w:ascii="Arial" w:hAnsi="Arial"/>
        </w:rPr>
        <w:tab/>
        <w:t>Disclose details and an estimate of the financial effect of any event between the year end and approval</w:t>
      </w:r>
      <w:r w:rsidR="0046021D">
        <w:rPr>
          <w:rFonts w:ascii="Arial" w:hAnsi="Arial"/>
        </w:rPr>
        <w:t xml:space="preserve"> of the accounts </w:t>
      </w:r>
      <w:proofErr w:type="spellStart"/>
      <w:r w:rsidR="0046021D">
        <w:rPr>
          <w:rFonts w:ascii="Arial" w:hAnsi="Arial"/>
          <w:i/>
        </w:rPr>
        <w:t>ie</w:t>
      </w:r>
      <w:proofErr w:type="spellEnd"/>
      <w:r w:rsidR="0046021D">
        <w:rPr>
          <w:rFonts w:ascii="Arial" w:hAnsi="Arial"/>
          <w:i/>
        </w:rPr>
        <w:t xml:space="preserve"> </w:t>
      </w:r>
      <w:r w:rsidR="0046021D">
        <w:rPr>
          <w:rFonts w:ascii="Arial" w:hAnsi="Arial"/>
        </w:rPr>
        <w:t>the date of signing</w:t>
      </w:r>
      <w:r w:rsidRPr="004245F6">
        <w:rPr>
          <w:rFonts w:ascii="Arial" w:hAnsi="Arial"/>
        </w:rPr>
        <w:t>.</w:t>
      </w:r>
    </w:p>
    <w:p w14:paraId="33119B47" w14:textId="77777777" w:rsidR="00FD6108" w:rsidRPr="004245F6" w:rsidRDefault="00FD6108" w:rsidP="00A5246F">
      <w:pPr>
        <w:ind w:left="1440"/>
        <w:rPr>
          <w:rFonts w:ascii="Arial" w:hAnsi="Arial"/>
        </w:rPr>
      </w:pPr>
    </w:p>
    <w:p w14:paraId="457EC357" w14:textId="77777777" w:rsidR="00FD6108" w:rsidRPr="004245F6" w:rsidRDefault="00FD6108" w:rsidP="00A5246F">
      <w:pPr>
        <w:ind w:left="1440"/>
        <w:rPr>
          <w:rFonts w:ascii="Arial" w:hAnsi="Arial"/>
        </w:rPr>
      </w:pPr>
    </w:p>
    <w:p w14:paraId="2B18C490" w14:textId="6A14F19E" w:rsidR="00FD6108" w:rsidRPr="004245F6" w:rsidRDefault="00FD6108" w:rsidP="000B18F3">
      <w:pPr>
        <w:ind w:left="1440"/>
        <w:outlineLvl w:val="0"/>
        <w:rPr>
          <w:rFonts w:ascii="Arial" w:hAnsi="Arial"/>
        </w:rPr>
      </w:pPr>
      <w:r w:rsidRPr="004245F6">
        <w:rPr>
          <w:rFonts w:ascii="Arial" w:hAnsi="Arial"/>
        </w:rPr>
        <w:t>JGC</w:t>
      </w:r>
    </w:p>
    <w:p w14:paraId="28BBBBE6" w14:textId="25AA48AE" w:rsidR="008A0CCC" w:rsidRPr="004245F6" w:rsidRDefault="009A6AF9" w:rsidP="00A5246F">
      <w:pPr>
        <w:ind w:left="1440"/>
        <w:rPr>
          <w:rFonts w:ascii="Arial" w:hAnsi="Arial"/>
        </w:rPr>
      </w:pPr>
      <w:r w:rsidRPr="004245F6">
        <w:rPr>
          <w:rFonts w:ascii="Arial" w:hAnsi="Arial"/>
        </w:rPr>
        <w:t>v</w:t>
      </w:r>
      <w:r w:rsidR="00C861E7" w:rsidRPr="004245F6">
        <w:rPr>
          <w:rFonts w:ascii="Arial" w:hAnsi="Arial"/>
        </w:rPr>
        <w:t>16.</w:t>
      </w:r>
      <w:r w:rsidR="0046021D">
        <w:rPr>
          <w:rFonts w:ascii="Arial" w:hAnsi="Arial"/>
        </w:rPr>
        <w:t>10</w:t>
      </w:r>
    </w:p>
    <w:p w14:paraId="703987A0" w14:textId="10B2F762" w:rsidR="00FD6108" w:rsidRPr="004245F6" w:rsidRDefault="00FC7E2B" w:rsidP="00A5246F">
      <w:pPr>
        <w:ind w:left="1440"/>
        <w:rPr>
          <w:rFonts w:ascii="Arial" w:hAnsi="Arial"/>
        </w:rPr>
      </w:pPr>
      <w:r w:rsidRPr="004245F6">
        <w:rPr>
          <w:rFonts w:ascii="Arial" w:hAnsi="Arial"/>
        </w:rPr>
        <w:t>20160</w:t>
      </w:r>
      <w:r w:rsidR="007C703A">
        <w:rPr>
          <w:rFonts w:ascii="Arial" w:hAnsi="Arial"/>
        </w:rPr>
        <w:t>70</w:t>
      </w:r>
      <w:r w:rsidR="0046021D">
        <w:rPr>
          <w:rFonts w:ascii="Arial" w:hAnsi="Arial"/>
        </w:rPr>
        <w:t>8</w:t>
      </w:r>
    </w:p>
    <w:p w14:paraId="1E52B54B" w14:textId="3CC9189C" w:rsidR="00AB7C99" w:rsidRPr="004245F6" w:rsidRDefault="00C861E7" w:rsidP="00A5246F">
      <w:pPr>
        <w:ind w:left="1440"/>
        <w:rPr>
          <w:rFonts w:ascii="Arial" w:hAnsi="Arial"/>
        </w:rPr>
      </w:pPr>
      <w:r w:rsidRPr="004245F6">
        <w:rPr>
          <w:rFonts w:ascii="Arial" w:hAnsi="Arial"/>
        </w:rPr>
        <w:t>SORP</w:t>
      </w:r>
      <w:r w:rsidR="008B4DEC" w:rsidRPr="004245F6">
        <w:rPr>
          <w:rFonts w:ascii="Arial" w:hAnsi="Arial"/>
        </w:rPr>
        <w:t xml:space="preserve"> Dt GNs v16</w:t>
      </w:r>
      <w:r w:rsidRPr="004245F6">
        <w:rPr>
          <w:rFonts w:ascii="Arial" w:hAnsi="Arial"/>
        </w:rPr>
        <w:t>.</w:t>
      </w:r>
      <w:r w:rsidR="0046021D">
        <w:rPr>
          <w:rFonts w:ascii="Arial" w:hAnsi="Arial"/>
        </w:rPr>
        <w:t>10</w:t>
      </w:r>
    </w:p>
    <w:p w14:paraId="6C525F4B" w14:textId="77777777" w:rsidR="00AB7C99" w:rsidRPr="008A2446" w:rsidRDefault="00AB7C99" w:rsidP="00AB7C99">
      <w:pPr>
        <w:rPr>
          <w:rFonts w:ascii="Arial" w:hAnsi="Arial"/>
          <w:color w:val="000000" w:themeColor="text1"/>
          <w:sz w:val="22"/>
        </w:rPr>
      </w:pPr>
    </w:p>
    <w:p w14:paraId="6601D323" w14:textId="77777777" w:rsidR="00AB7C99" w:rsidRPr="00594C18" w:rsidRDefault="00AB7C99" w:rsidP="00A5246F">
      <w:pPr>
        <w:ind w:left="1440"/>
        <w:rPr>
          <w:rFonts w:ascii="Arial" w:hAnsi="Arial"/>
        </w:rPr>
      </w:pPr>
    </w:p>
    <w:p w14:paraId="1CD9989C" w14:textId="77777777" w:rsidR="00A5246F" w:rsidRDefault="00A5246F" w:rsidP="00A5246F">
      <w:pPr>
        <w:pStyle w:val="ListParagraph"/>
        <w:rPr>
          <w:rFonts w:ascii="Arial" w:hAnsi="Arial"/>
        </w:rPr>
      </w:pPr>
    </w:p>
    <w:p w14:paraId="62C06985" w14:textId="77777777" w:rsidR="00433CA8" w:rsidRDefault="00433CA8"/>
    <w:sectPr w:rsidR="00433CA8" w:rsidSect="00433CA8">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2233B"/>
    <w:multiLevelType w:val="hybridMultilevel"/>
    <w:tmpl w:val="5B509476"/>
    <w:lvl w:ilvl="0" w:tplc="1BC01B58">
      <w:start w:val="1"/>
      <w:numFmt w:val="lowerLetter"/>
      <w:lvlText w:val="%1."/>
      <w:lvlJc w:val="left"/>
      <w:pPr>
        <w:ind w:left="2878" w:hanging="720"/>
      </w:pPr>
      <w:rPr>
        <w:rFonts w:hint="default"/>
      </w:rPr>
    </w:lvl>
    <w:lvl w:ilvl="1" w:tplc="04090019" w:tentative="1">
      <w:start w:val="1"/>
      <w:numFmt w:val="lowerLetter"/>
      <w:lvlText w:val="%2."/>
      <w:lvlJc w:val="left"/>
      <w:pPr>
        <w:ind w:left="3238" w:hanging="360"/>
      </w:pPr>
    </w:lvl>
    <w:lvl w:ilvl="2" w:tplc="0409001B" w:tentative="1">
      <w:start w:val="1"/>
      <w:numFmt w:val="lowerRoman"/>
      <w:lvlText w:val="%3."/>
      <w:lvlJc w:val="right"/>
      <w:pPr>
        <w:ind w:left="3958" w:hanging="180"/>
      </w:pPr>
    </w:lvl>
    <w:lvl w:ilvl="3" w:tplc="0409000F" w:tentative="1">
      <w:start w:val="1"/>
      <w:numFmt w:val="decimal"/>
      <w:lvlText w:val="%4."/>
      <w:lvlJc w:val="left"/>
      <w:pPr>
        <w:ind w:left="4678" w:hanging="360"/>
      </w:pPr>
    </w:lvl>
    <w:lvl w:ilvl="4" w:tplc="04090019" w:tentative="1">
      <w:start w:val="1"/>
      <w:numFmt w:val="lowerLetter"/>
      <w:lvlText w:val="%5."/>
      <w:lvlJc w:val="left"/>
      <w:pPr>
        <w:ind w:left="5398" w:hanging="360"/>
      </w:pPr>
    </w:lvl>
    <w:lvl w:ilvl="5" w:tplc="0409001B" w:tentative="1">
      <w:start w:val="1"/>
      <w:numFmt w:val="lowerRoman"/>
      <w:lvlText w:val="%6."/>
      <w:lvlJc w:val="right"/>
      <w:pPr>
        <w:ind w:left="6118" w:hanging="180"/>
      </w:pPr>
    </w:lvl>
    <w:lvl w:ilvl="6" w:tplc="0409000F" w:tentative="1">
      <w:start w:val="1"/>
      <w:numFmt w:val="decimal"/>
      <w:lvlText w:val="%7."/>
      <w:lvlJc w:val="left"/>
      <w:pPr>
        <w:ind w:left="6838" w:hanging="360"/>
      </w:pPr>
    </w:lvl>
    <w:lvl w:ilvl="7" w:tplc="04090019" w:tentative="1">
      <w:start w:val="1"/>
      <w:numFmt w:val="lowerLetter"/>
      <w:lvlText w:val="%8."/>
      <w:lvlJc w:val="left"/>
      <w:pPr>
        <w:ind w:left="7558" w:hanging="360"/>
      </w:pPr>
    </w:lvl>
    <w:lvl w:ilvl="8" w:tplc="0409001B" w:tentative="1">
      <w:start w:val="1"/>
      <w:numFmt w:val="lowerRoman"/>
      <w:lvlText w:val="%9."/>
      <w:lvlJc w:val="right"/>
      <w:pPr>
        <w:ind w:left="82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6F"/>
    <w:rsid w:val="00067810"/>
    <w:rsid w:val="000723CE"/>
    <w:rsid w:val="000B18F3"/>
    <w:rsid w:val="000D6D52"/>
    <w:rsid w:val="001F3F25"/>
    <w:rsid w:val="002E164C"/>
    <w:rsid w:val="003846CA"/>
    <w:rsid w:val="004245F6"/>
    <w:rsid w:val="00433CA8"/>
    <w:rsid w:val="0046021D"/>
    <w:rsid w:val="005B6532"/>
    <w:rsid w:val="00764F33"/>
    <w:rsid w:val="0078056C"/>
    <w:rsid w:val="007C703A"/>
    <w:rsid w:val="008A0CCC"/>
    <w:rsid w:val="008A2446"/>
    <w:rsid w:val="008B4DEC"/>
    <w:rsid w:val="009515E5"/>
    <w:rsid w:val="009A6AF9"/>
    <w:rsid w:val="00A5246F"/>
    <w:rsid w:val="00AB7C99"/>
    <w:rsid w:val="00C861E7"/>
    <w:rsid w:val="00C949EF"/>
    <w:rsid w:val="00CF00A3"/>
    <w:rsid w:val="00D56B56"/>
    <w:rsid w:val="00D628CA"/>
    <w:rsid w:val="00DB2134"/>
    <w:rsid w:val="00DD5FCD"/>
    <w:rsid w:val="00E35840"/>
    <w:rsid w:val="00E87FE6"/>
    <w:rsid w:val="00EB1FC8"/>
    <w:rsid w:val="00FC7E2B"/>
    <w:rsid w:val="00FD61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2EDC5F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4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46F"/>
    <w:pPr>
      <w:ind w:left="720"/>
      <w:contextualSpacing/>
    </w:pPr>
  </w:style>
  <w:style w:type="paragraph" w:styleId="BalloonText">
    <w:name w:val="Balloon Text"/>
    <w:basedOn w:val="Normal"/>
    <w:link w:val="BalloonTextChar"/>
    <w:uiPriority w:val="99"/>
    <w:semiHidden/>
    <w:unhideWhenUsed/>
    <w:rsid w:val="00780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056C"/>
    <w:rPr>
      <w:rFonts w:ascii="Lucida Grande" w:hAnsi="Lucida Grande" w:cs="Lucida Grande"/>
      <w:sz w:val="18"/>
      <w:szCs w:val="18"/>
      <w:lang w:eastAsia="en-US"/>
    </w:rPr>
  </w:style>
  <w:style w:type="paragraph" w:styleId="DocumentMap">
    <w:name w:val="Document Map"/>
    <w:basedOn w:val="Normal"/>
    <w:link w:val="DocumentMapChar"/>
    <w:uiPriority w:val="99"/>
    <w:semiHidden/>
    <w:unhideWhenUsed/>
    <w:rsid w:val="000B18F3"/>
  </w:style>
  <w:style w:type="character" w:customStyle="1" w:styleId="DocumentMapChar">
    <w:name w:val="Document Map Char"/>
    <w:basedOn w:val="DefaultParagraphFont"/>
    <w:link w:val="DocumentMap"/>
    <w:uiPriority w:val="99"/>
    <w:semiHidden/>
    <w:rsid w:val="000B18F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1271</Words>
  <Characters>6341</Characters>
  <Application>Microsoft Macintosh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Chastney</dc:creator>
  <cp:keywords/>
  <dc:description/>
  <cp:lastModifiedBy>John Chastney</cp:lastModifiedBy>
  <cp:revision>3</cp:revision>
  <dcterms:created xsi:type="dcterms:W3CDTF">2016-07-08T11:26:00Z</dcterms:created>
  <dcterms:modified xsi:type="dcterms:W3CDTF">2016-07-08T11:32:00Z</dcterms:modified>
</cp:coreProperties>
</file>